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A" w:rsidRDefault="00A82D9A" w:rsidP="00A82D9A"/>
    <w:p w:rsidR="00D0762F" w:rsidRPr="00E3663E" w:rsidRDefault="00DE7ADD" w:rsidP="000E35A5">
      <w:pPr>
        <w:jc w:val="center"/>
        <w:rPr>
          <w:b/>
        </w:rPr>
      </w:pPr>
      <w:r w:rsidRPr="00E3663E">
        <w:rPr>
          <w:b/>
        </w:rPr>
        <w:t>Frontloading Voca</w:t>
      </w:r>
      <w:r w:rsidR="00EB15D4" w:rsidRPr="00E3663E">
        <w:rPr>
          <w:b/>
        </w:rPr>
        <w:t>bulary in Core Content Classe</w:t>
      </w:r>
      <w:r w:rsidRPr="00E3663E">
        <w:rPr>
          <w:b/>
        </w:rPr>
        <w:t>s</w:t>
      </w:r>
      <w:r w:rsidR="00EB15D4" w:rsidRPr="00E3663E">
        <w:rPr>
          <w:b/>
        </w:rPr>
        <w:t>: Instructional Strategies</w:t>
      </w:r>
    </w:p>
    <w:p w:rsidR="000E35A5" w:rsidRDefault="000E35A5" w:rsidP="000E35A5">
      <w:pPr>
        <w:jc w:val="center"/>
      </w:pPr>
      <w:proofErr w:type="gramStart"/>
      <w:r>
        <w:t>Mary Murray Stowe, M.Ed.</w:t>
      </w:r>
      <w:proofErr w:type="gramEnd"/>
    </w:p>
    <w:p w:rsidR="008020C3" w:rsidRDefault="00905AA4" w:rsidP="0063606F">
      <w:pPr>
        <w:spacing w:line="480" w:lineRule="auto"/>
        <w:rPr>
          <w:i/>
        </w:rPr>
      </w:pPr>
      <w:r w:rsidRPr="00F80D56">
        <w:rPr>
          <w:b/>
        </w:rPr>
        <w:t>Scenario</w:t>
      </w:r>
      <w:r w:rsidRPr="00C7566F">
        <w:rPr>
          <w:b/>
          <w:i/>
        </w:rPr>
        <w:t>:</w:t>
      </w:r>
      <w:r>
        <w:rPr>
          <w:i/>
        </w:rPr>
        <w:t xml:space="preserve">  </w:t>
      </w:r>
      <w:r w:rsidR="00D20D37">
        <w:rPr>
          <w:i/>
        </w:rPr>
        <w:t>Your</w:t>
      </w:r>
      <w:r w:rsidR="00620A3A">
        <w:rPr>
          <w:i/>
        </w:rPr>
        <w:t xml:space="preserve"> students </w:t>
      </w:r>
      <w:r w:rsidR="00DE7ADD">
        <w:rPr>
          <w:i/>
        </w:rPr>
        <w:t xml:space="preserve">begin their </w:t>
      </w:r>
      <w:r w:rsidR="003C2567">
        <w:rPr>
          <w:i/>
        </w:rPr>
        <w:t xml:space="preserve">cultural study </w:t>
      </w:r>
      <w:r w:rsidR="00FB24DE">
        <w:rPr>
          <w:i/>
        </w:rPr>
        <w:t xml:space="preserve">of </w:t>
      </w:r>
      <w:r w:rsidR="00DE7ADD">
        <w:rPr>
          <w:i/>
        </w:rPr>
        <w:t>anc</w:t>
      </w:r>
      <w:r w:rsidR="00FB24DE">
        <w:rPr>
          <w:i/>
        </w:rPr>
        <w:t>ient Sumerians</w:t>
      </w:r>
      <w:r w:rsidR="00DE7ADD">
        <w:rPr>
          <w:i/>
        </w:rPr>
        <w:t xml:space="preserve">.  </w:t>
      </w:r>
      <w:r w:rsidR="00EB15D4">
        <w:rPr>
          <w:i/>
        </w:rPr>
        <w:t>You have provided a</w:t>
      </w:r>
      <w:r w:rsidR="00DE7ADD">
        <w:rPr>
          <w:i/>
        </w:rPr>
        <w:t xml:space="preserve"> re</w:t>
      </w:r>
      <w:r w:rsidR="00AB46A8">
        <w:rPr>
          <w:i/>
        </w:rPr>
        <w:t xml:space="preserve">ader’s guide </w:t>
      </w:r>
      <w:r w:rsidR="00CA186A">
        <w:rPr>
          <w:i/>
        </w:rPr>
        <w:t>for individu</w:t>
      </w:r>
      <w:r w:rsidR="00D20D37">
        <w:rPr>
          <w:i/>
        </w:rPr>
        <w:t>a</w:t>
      </w:r>
      <w:r w:rsidR="00CA186A">
        <w:rPr>
          <w:i/>
        </w:rPr>
        <w:t>l completion by the end of the class period in preparation</w:t>
      </w:r>
      <w:r w:rsidR="00DE7ADD">
        <w:rPr>
          <w:i/>
        </w:rPr>
        <w:t xml:space="preserve"> for a</w:t>
      </w:r>
      <w:r w:rsidR="00D20D37">
        <w:rPr>
          <w:i/>
        </w:rPr>
        <w:t xml:space="preserve"> w</w:t>
      </w:r>
      <w:r>
        <w:rPr>
          <w:i/>
        </w:rPr>
        <w:t>hole</w:t>
      </w:r>
      <w:r w:rsidR="00EB15D4">
        <w:rPr>
          <w:i/>
        </w:rPr>
        <w:t>-</w:t>
      </w:r>
      <w:r>
        <w:rPr>
          <w:i/>
        </w:rPr>
        <w:t xml:space="preserve">group discussion the following </w:t>
      </w:r>
      <w:r w:rsidR="00D20D37">
        <w:rPr>
          <w:i/>
        </w:rPr>
        <w:t>day</w:t>
      </w:r>
      <w:r w:rsidR="00DE7ADD">
        <w:rPr>
          <w:i/>
        </w:rPr>
        <w:t xml:space="preserve">.  </w:t>
      </w:r>
      <w:r w:rsidR="00EB15D4">
        <w:rPr>
          <w:i/>
        </w:rPr>
        <w:t>You anticipate a lively discussion a</w:t>
      </w:r>
      <w:r>
        <w:rPr>
          <w:i/>
        </w:rPr>
        <w:t>s you</w:t>
      </w:r>
      <w:r w:rsidR="00FB24DE">
        <w:rPr>
          <w:i/>
        </w:rPr>
        <w:t xml:space="preserve"> </w:t>
      </w:r>
      <w:r w:rsidR="00DE7ADD">
        <w:rPr>
          <w:i/>
        </w:rPr>
        <w:t>constru</w:t>
      </w:r>
      <w:r w:rsidR="00FB24DE">
        <w:rPr>
          <w:i/>
        </w:rPr>
        <w:t>ct</w:t>
      </w:r>
      <w:r w:rsidR="00AF04C9">
        <w:rPr>
          <w:i/>
        </w:rPr>
        <w:t xml:space="preserve"> questions</w:t>
      </w:r>
      <w:r w:rsidR="00EB15D4">
        <w:rPr>
          <w:i/>
        </w:rPr>
        <w:t xml:space="preserve"> requiring</w:t>
      </w:r>
      <w:r w:rsidR="00DE7ADD">
        <w:rPr>
          <w:i/>
        </w:rPr>
        <w:t xml:space="preserve"> critical think</w:t>
      </w:r>
      <w:r>
        <w:rPr>
          <w:i/>
        </w:rPr>
        <w:t>ing skills and application of knowledge</w:t>
      </w:r>
      <w:r w:rsidR="00A24772">
        <w:rPr>
          <w:i/>
        </w:rPr>
        <w:t xml:space="preserve">.  </w:t>
      </w:r>
      <w:r w:rsidR="00EB15D4">
        <w:rPr>
          <w:i/>
        </w:rPr>
        <w:t>Thusfar, y</w:t>
      </w:r>
      <w:r w:rsidR="00A24772">
        <w:rPr>
          <w:i/>
        </w:rPr>
        <w:t>our students have given no indication that confusion exists</w:t>
      </w:r>
      <w:r w:rsidR="00DE7ADD">
        <w:rPr>
          <w:i/>
        </w:rPr>
        <w:t xml:space="preserve">.  </w:t>
      </w:r>
    </w:p>
    <w:p w:rsidR="00DE7ADD" w:rsidRDefault="004F349C" w:rsidP="0063606F">
      <w:pPr>
        <w:spacing w:line="480" w:lineRule="auto"/>
        <w:rPr>
          <w:i/>
        </w:rPr>
      </w:pPr>
      <w:r>
        <w:rPr>
          <w:i/>
        </w:rPr>
        <w:t>The following day y</w:t>
      </w:r>
      <w:r w:rsidR="00DC41AF">
        <w:rPr>
          <w:i/>
        </w:rPr>
        <w:t xml:space="preserve">ou </w:t>
      </w:r>
      <w:r w:rsidR="00DE7ADD">
        <w:rPr>
          <w:i/>
        </w:rPr>
        <w:t>ask the first question.</w:t>
      </w:r>
      <w:r w:rsidR="00EC414D">
        <w:rPr>
          <w:i/>
        </w:rPr>
        <w:t xml:space="preserve"> </w:t>
      </w:r>
      <w:r w:rsidR="00C7306A">
        <w:rPr>
          <w:i/>
        </w:rPr>
        <w:t>Only a few hands are raised</w:t>
      </w:r>
      <w:r>
        <w:rPr>
          <w:i/>
        </w:rPr>
        <w:t xml:space="preserve"> in response</w:t>
      </w:r>
      <w:r w:rsidR="00C7306A">
        <w:rPr>
          <w:i/>
        </w:rPr>
        <w:t>.  By</w:t>
      </w:r>
      <w:r>
        <w:rPr>
          <w:i/>
        </w:rPr>
        <w:t xml:space="preserve"> the end of the second question, rather than </w:t>
      </w:r>
      <w:r w:rsidR="00C7306A">
        <w:rPr>
          <w:i/>
        </w:rPr>
        <w:t xml:space="preserve">more </w:t>
      </w:r>
      <w:r w:rsidR="00EC414D">
        <w:rPr>
          <w:i/>
        </w:rPr>
        <w:t>raised hands, you view a se</w:t>
      </w:r>
      <w:r w:rsidR="008020C3">
        <w:rPr>
          <w:i/>
        </w:rPr>
        <w:t>a of wide-eyed, closed-mouthed faces</w:t>
      </w:r>
      <w:r w:rsidR="00E52CF2">
        <w:rPr>
          <w:i/>
        </w:rPr>
        <w:t>.  Quickly rethinking,</w:t>
      </w:r>
      <w:r w:rsidR="00EC414D">
        <w:rPr>
          <w:i/>
        </w:rPr>
        <w:t xml:space="preserve"> </w:t>
      </w:r>
      <w:r w:rsidR="00E52CF2">
        <w:rPr>
          <w:i/>
        </w:rPr>
        <w:t xml:space="preserve">you ask a </w:t>
      </w:r>
      <w:r w:rsidR="00EC414D">
        <w:rPr>
          <w:i/>
        </w:rPr>
        <w:t>scaffo</w:t>
      </w:r>
      <w:r w:rsidR="00E52CF2">
        <w:rPr>
          <w:i/>
        </w:rPr>
        <w:t xml:space="preserve">lded question </w:t>
      </w:r>
      <w:r>
        <w:rPr>
          <w:i/>
        </w:rPr>
        <w:t>to stimulate the discussion.  T</w:t>
      </w:r>
      <w:r w:rsidR="00E52CF2">
        <w:rPr>
          <w:i/>
        </w:rPr>
        <w:t>he only</w:t>
      </w:r>
      <w:r w:rsidR="00EC414D">
        <w:rPr>
          <w:i/>
        </w:rPr>
        <w:t xml:space="preserve"> sound heard </w:t>
      </w:r>
      <w:r w:rsidR="00DE5DE2">
        <w:rPr>
          <w:i/>
        </w:rPr>
        <w:t>is</w:t>
      </w:r>
      <w:r w:rsidR="00EC414D">
        <w:rPr>
          <w:i/>
        </w:rPr>
        <w:t xml:space="preserve"> a nervous cough.  What do you do?  Did they read the chapter?  Did they complete the guided reading worksheet?  </w:t>
      </w:r>
      <w:r>
        <w:rPr>
          <w:i/>
        </w:rPr>
        <w:t>When y</w:t>
      </w:r>
      <w:r w:rsidR="002D1CBC">
        <w:rPr>
          <w:i/>
        </w:rPr>
        <w:t>ou ask the students if they read the te</w:t>
      </w:r>
      <w:r>
        <w:rPr>
          <w:i/>
        </w:rPr>
        <w:t>xt and understood every word, h</w:t>
      </w:r>
      <w:r w:rsidR="002D1CBC">
        <w:rPr>
          <w:i/>
        </w:rPr>
        <w:t xml:space="preserve">eads swung from side to side – no.  </w:t>
      </w:r>
      <w:r>
        <w:rPr>
          <w:i/>
        </w:rPr>
        <w:t xml:space="preserve">How could you avoid this </w:t>
      </w:r>
      <w:r w:rsidR="00EC414D">
        <w:rPr>
          <w:i/>
        </w:rPr>
        <w:t xml:space="preserve">uncomfortable </w:t>
      </w:r>
      <w:r w:rsidR="00E52CF2">
        <w:rPr>
          <w:i/>
        </w:rPr>
        <w:t>s</w:t>
      </w:r>
      <w:r w:rsidR="008B1F67">
        <w:rPr>
          <w:i/>
        </w:rPr>
        <w:t>ituation</w:t>
      </w:r>
      <w:r>
        <w:rPr>
          <w:i/>
        </w:rPr>
        <w:t>?</w:t>
      </w:r>
    </w:p>
    <w:p w:rsidR="00A21623" w:rsidRDefault="001821D5" w:rsidP="0063606F">
      <w:pPr>
        <w:spacing w:line="480" w:lineRule="auto"/>
      </w:pPr>
      <w:r w:rsidRPr="00C7566F">
        <w:rPr>
          <w:b/>
        </w:rPr>
        <w:t>Solution:</w:t>
      </w:r>
      <w:r>
        <w:t xml:space="preserve">  </w:t>
      </w:r>
      <w:r w:rsidR="006E207E">
        <w:t xml:space="preserve">Frontloading </w:t>
      </w:r>
      <w:r w:rsidR="00A848C4">
        <w:t xml:space="preserve">or pre-teaching </w:t>
      </w:r>
      <w:r w:rsidR="00EC414D">
        <w:t>voc</w:t>
      </w:r>
      <w:r w:rsidR="00F36671">
        <w:t>abulary</w:t>
      </w:r>
      <w:r w:rsidR="00B136AD">
        <w:t xml:space="preserve"> is </w:t>
      </w:r>
      <w:r w:rsidR="004F349C">
        <w:t xml:space="preserve">a powerful </w:t>
      </w:r>
      <w:r w:rsidR="00EC414D">
        <w:t>before-reading instructional strategy to facilitate comprehension</w:t>
      </w:r>
      <w:r w:rsidR="00B136AD">
        <w:t xml:space="preserve"> of a passage</w:t>
      </w:r>
      <w:r w:rsidR="00EC414D">
        <w:t>.  Building this</w:t>
      </w:r>
      <w:r w:rsidR="00E20493">
        <w:t xml:space="preserve"> strategy into your lesson </w:t>
      </w:r>
      <w:r w:rsidR="00EC414D">
        <w:t xml:space="preserve">plan </w:t>
      </w:r>
      <w:r w:rsidR="00E20493">
        <w:t>will reap benefits with student</w:t>
      </w:r>
      <w:r w:rsidR="007E22A3">
        <w:t>s’</w:t>
      </w:r>
      <w:r w:rsidR="00E20493">
        <w:t xml:space="preserve"> </w:t>
      </w:r>
      <w:r w:rsidR="006E207E">
        <w:t xml:space="preserve">comprehension and expand learning for </w:t>
      </w:r>
      <w:r w:rsidR="00EC414D">
        <w:t>critical thinking activities.</w:t>
      </w:r>
      <w:r w:rsidR="004F0531">
        <w:t xml:space="preserve">  </w:t>
      </w:r>
      <w:r w:rsidR="007E22A3">
        <w:t>By giving students explicit instruction in vocabulary, teachers help them learn the meaning of new words and strengt</w:t>
      </w:r>
      <w:r w:rsidR="004F349C">
        <w:t>hen their independent skills for constructing meaning from</w:t>
      </w:r>
      <w:r w:rsidR="007E22A3">
        <w:t xml:space="preserve"> text </w:t>
      </w:r>
      <w:r w:rsidR="00A21623" w:rsidRPr="007E22A3">
        <w:t>(Kamil,</w:t>
      </w:r>
      <w:r w:rsidR="004F349C">
        <w:t>Borman, Diole, Kral, Salinger, &amp; Torgeson</w:t>
      </w:r>
      <w:r w:rsidR="00A21623" w:rsidRPr="007E22A3">
        <w:t xml:space="preserve"> 2008)</w:t>
      </w:r>
      <w:r w:rsidR="007E22A3">
        <w:t>.</w:t>
      </w:r>
    </w:p>
    <w:p w:rsidR="00F111F8" w:rsidRPr="00F111F8" w:rsidRDefault="00F111F8" w:rsidP="0063606F">
      <w:pPr>
        <w:spacing w:line="480" w:lineRule="auto"/>
        <w:rPr>
          <w:b/>
        </w:rPr>
      </w:pPr>
      <w:r>
        <w:rPr>
          <w:b/>
        </w:rPr>
        <w:t>Identifying Problematic Vocabulary</w:t>
      </w:r>
    </w:p>
    <w:p w:rsidR="00C75867" w:rsidRDefault="004F349C" w:rsidP="0063606F">
      <w:pPr>
        <w:spacing w:line="480" w:lineRule="auto"/>
      </w:pPr>
      <w:r>
        <w:t>The first step in teaching vocabulary p</w:t>
      </w:r>
      <w:r w:rsidR="00E306AD">
        <w:t>re-scanning the reading assignment to identify</w:t>
      </w:r>
      <w:r>
        <w:t xml:space="preserve"> problematic vocabulary </w:t>
      </w:r>
      <w:r w:rsidR="00E306AD">
        <w:t xml:space="preserve"> (Coffman, 2009). </w:t>
      </w:r>
      <w:r w:rsidR="00561426">
        <w:t xml:space="preserve">Matching your students’ </w:t>
      </w:r>
      <w:r w:rsidR="006E207E">
        <w:t>Standard</w:t>
      </w:r>
      <w:r>
        <w:t>s</w:t>
      </w:r>
      <w:r w:rsidR="006E207E">
        <w:t xml:space="preserve"> of Learning (SOL)</w:t>
      </w:r>
      <w:r w:rsidR="00561426">
        <w:t xml:space="preserve"> testing results with </w:t>
      </w:r>
      <w:r w:rsidR="00E27DB1">
        <w:lastRenderedPageBreak/>
        <w:t>the</w:t>
      </w:r>
      <w:r w:rsidR="00561426">
        <w:t>ir</w:t>
      </w:r>
      <w:r w:rsidR="00E27DB1">
        <w:t xml:space="preserve"> corresponding Lexile l</w:t>
      </w:r>
      <w:r w:rsidR="006E207E">
        <w:t>evels will prove in</w:t>
      </w:r>
      <w:r w:rsidR="00625225">
        <w:t>valuable</w:t>
      </w:r>
      <w:r w:rsidR="00561426">
        <w:t xml:space="preserve"> to this task</w:t>
      </w:r>
      <w:r w:rsidR="006E207E">
        <w:t>.</w:t>
      </w:r>
      <w:r w:rsidR="00B92FE4">
        <w:t xml:space="preserve">  </w:t>
      </w:r>
      <w:r w:rsidR="00D43B7F">
        <w:t xml:space="preserve">For additional information on Lexile levels, use this link, </w:t>
      </w:r>
      <w:hyperlink r:id="rId6" w:history="1">
        <w:r w:rsidR="00D43B7F" w:rsidRPr="00D43B7F">
          <w:rPr>
            <w:rStyle w:val="Hyperlink"/>
          </w:rPr>
          <w:t>http://www.lexile.com/PDF/TheLexileFrameworkforReading.pdf</w:t>
        </w:r>
      </w:hyperlink>
      <w:r w:rsidR="00D43B7F">
        <w:t xml:space="preserve"> .  </w:t>
      </w:r>
      <w:r w:rsidR="00C178F6">
        <w:t>(The c</w:t>
      </w:r>
      <w:r w:rsidR="00C75867">
        <w:t>orrelation of SOL sco</w:t>
      </w:r>
      <w:r w:rsidR="002374D3">
        <w:t xml:space="preserve">re to Lexile level is located </w:t>
      </w:r>
      <w:r w:rsidR="00C75867">
        <w:t xml:space="preserve">on the VDOE website </w:t>
      </w:r>
      <w:r w:rsidR="002374D3">
        <w:t xml:space="preserve">in </w:t>
      </w:r>
      <w:r w:rsidR="0083606D">
        <w:t>Superintende</w:t>
      </w:r>
      <w:r w:rsidR="002374D3">
        <w:t>nt’s Memo #267</w:t>
      </w:r>
      <w:r w:rsidR="0083606D">
        <w:t xml:space="preserve">; </w:t>
      </w:r>
      <w:hyperlink r:id="rId7" w:history="1">
        <w:r w:rsidR="00D43B7F" w:rsidRPr="00DE2EA1">
          <w:rPr>
            <w:rStyle w:val="Hyperlink"/>
          </w:rPr>
          <w:t>http://www.doe.virginia.gov/info_centers/sol/lexile/resources/measure_relationship_to_sol/</w:t>
        </w:r>
      </w:hyperlink>
      <w:r w:rsidR="00123498">
        <w:t>.</w:t>
      </w:r>
      <w:r w:rsidR="0083606D">
        <w:t>)</w:t>
      </w:r>
      <w:r w:rsidR="007D7838">
        <w:t xml:space="preserve"> </w:t>
      </w:r>
      <w:r w:rsidR="0083606D">
        <w:t xml:space="preserve"> T</w:t>
      </w:r>
      <w:r w:rsidR="007D7838">
        <w:t xml:space="preserve">he </w:t>
      </w:r>
      <w:r w:rsidR="00C75867">
        <w:t>Lexile Analyzer (</w:t>
      </w:r>
      <w:hyperlink r:id="rId8" w:history="1">
        <w:r w:rsidR="00C75867" w:rsidRPr="00177045">
          <w:rPr>
            <w:rStyle w:val="Hyperlink"/>
          </w:rPr>
          <w:t>www.lexile.com</w:t>
        </w:r>
      </w:hyperlink>
      <w:r w:rsidR="00B64F47">
        <w:t xml:space="preserve">) determines readability of </w:t>
      </w:r>
      <w:r w:rsidR="009A60BD">
        <w:t>scanned text</w:t>
      </w:r>
      <w:r w:rsidR="00B244AA">
        <w:t>, th</w:t>
      </w:r>
      <w:r w:rsidR="007D7838">
        <w:t xml:space="preserve">us providing a </w:t>
      </w:r>
      <w:r w:rsidR="002D3386">
        <w:t>selection guide</w:t>
      </w:r>
      <w:r w:rsidR="00B244AA">
        <w:t>.</w:t>
      </w:r>
    </w:p>
    <w:p w:rsidR="00F111F8" w:rsidRPr="00F111F8" w:rsidRDefault="00F111F8" w:rsidP="0063606F">
      <w:pPr>
        <w:spacing w:line="480" w:lineRule="auto"/>
        <w:rPr>
          <w:b/>
        </w:rPr>
      </w:pPr>
      <w:r>
        <w:rPr>
          <w:b/>
        </w:rPr>
        <w:t>Instructional Strategies to Frontload Vocabulary</w:t>
      </w:r>
    </w:p>
    <w:p w:rsidR="0097409C" w:rsidRDefault="00B97A44" w:rsidP="0063606F">
      <w:pPr>
        <w:spacing w:line="480" w:lineRule="auto"/>
      </w:pPr>
      <w:r>
        <w:t>S</w:t>
      </w:r>
      <w:r w:rsidR="00E767DB">
        <w:t>tudent</w:t>
      </w:r>
      <w:r w:rsidR="00123498">
        <w:t>s</w:t>
      </w:r>
      <w:r w:rsidR="00E767DB">
        <w:t xml:space="preserve"> must have a working knowledge of </w:t>
      </w:r>
      <w:r w:rsidR="00235C76">
        <w:t>95% of the vocabulary in a passage in order</w:t>
      </w:r>
      <w:r w:rsidR="00E767DB">
        <w:t xml:space="preserve"> to comprehend it</w:t>
      </w:r>
      <w:r w:rsidR="00A848C4">
        <w:t xml:space="preserve"> (Lyon, 2009</w:t>
      </w:r>
      <w:r>
        <w:t>)</w:t>
      </w:r>
      <w:r w:rsidR="00E767DB">
        <w:t xml:space="preserve">.  </w:t>
      </w:r>
      <w:r w:rsidR="004F0531">
        <w:t>T</w:t>
      </w:r>
      <w:r w:rsidR="00127D38">
        <w:t>he more students understand the terms within a passage, the easier it is for them to understand information they may read or hear about th</w:t>
      </w:r>
      <w:r>
        <w:t>e topic (M</w:t>
      </w:r>
      <w:r w:rsidR="004F0531">
        <w:t>arzano</w:t>
      </w:r>
      <w:r w:rsidR="009C48E9">
        <w:t xml:space="preserve"> &amp; Pickering</w:t>
      </w:r>
      <w:r w:rsidR="004F0531">
        <w:t>, 2005)</w:t>
      </w:r>
      <w:r w:rsidR="00E27DB1">
        <w:t xml:space="preserve">.  </w:t>
      </w:r>
      <w:r w:rsidR="0097409C" w:rsidRPr="0097409C">
        <w:t xml:space="preserve"> </w:t>
      </w:r>
      <w:r w:rsidR="0097409C">
        <w:t>A number of evidence-based i</w:t>
      </w:r>
      <w:r w:rsidR="00AB46A8">
        <w:t xml:space="preserve">nstructional strategies are available </w:t>
      </w:r>
      <w:r w:rsidR="00A848C4">
        <w:t xml:space="preserve">to frontload </w:t>
      </w:r>
      <w:r w:rsidR="0097409C">
        <w:t>targeted vocabulary</w:t>
      </w:r>
      <w:r w:rsidR="009C48E9">
        <w:t xml:space="preserve"> to promote greater comprehension</w:t>
      </w:r>
      <w:r w:rsidR="0097409C">
        <w:t>.</w:t>
      </w:r>
    </w:p>
    <w:p w:rsidR="00235C76" w:rsidRPr="00235C76" w:rsidRDefault="00235C76" w:rsidP="0063606F">
      <w:pPr>
        <w:spacing w:line="480" w:lineRule="auto"/>
        <w:rPr>
          <w:b/>
        </w:rPr>
      </w:pPr>
      <w:r>
        <w:rPr>
          <w:b/>
        </w:rPr>
        <w:t>The Frayer Model</w:t>
      </w:r>
      <w:r w:rsidR="00B91B2E">
        <w:rPr>
          <w:b/>
        </w:rPr>
        <w:t>.</w:t>
      </w:r>
    </w:p>
    <w:p w:rsidR="0097409C" w:rsidRDefault="0058675C" w:rsidP="00B91B2E">
      <w:pPr>
        <w:spacing w:line="480" w:lineRule="auto"/>
        <w:ind w:firstLine="720"/>
      </w:pPr>
      <w:hyperlink r:id="rId9" w:history="1">
        <w:r w:rsidR="00E418F5" w:rsidRPr="00E418F5">
          <w:rPr>
            <w:rStyle w:val="Hyperlink"/>
          </w:rPr>
          <w:t>http://www.doe.virginia.gov/VDOE/middle-math-strategies/WorkingWithVocabulatory.doc</w:t>
        </w:r>
      </w:hyperlink>
    </w:p>
    <w:p w:rsidR="009A60BD" w:rsidRDefault="009A60BD" w:rsidP="003021D4">
      <w:pPr>
        <w:pStyle w:val="ListParagraph"/>
        <w:spacing w:line="480" w:lineRule="auto"/>
      </w:pPr>
      <w:r>
        <w:t xml:space="preserve">The Virginia Department of Education lists the Frayer Model </w:t>
      </w:r>
      <w:r w:rsidR="00235C76">
        <w:t xml:space="preserve">(see Figure 1) </w:t>
      </w:r>
      <w:r>
        <w:t>as an instructional strategy to teach math vocabulary.</w:t>
      </w:r>
      <w:r w:rsidR="000D5CD4">
        <w:t xml:space="preserve">  </w:t>
      </w:r>
      <w:r w:rsidR="003021D4">
        <w:t xml:space="preserve"> The targeted vocabulary word is placed in the center with the definition, characteristics, and examples surround the word.  Identifying non-examples is helpful in developing a fuller understanding of that word.</w:t>
      </w:r>
    </w:p>
    <w:p w:rsidR="003021D4" w:rsidRDefault="003021D4" w:rsidP="003021D4">
      <w:pPr>
        <w:pStyle w:val="ListParagraph"/>
        <w:spacing w:line="480" w:lineRule="auto"/>
      </w:pPr>
    </w:p>
    <w:p w:rsidR="00036475" w:rsidRDefault="00036475" w:rsidP="003021D4">
      <w:pPr>
        <w:pStyle w:val="ListParagraph"/>
        <w:spacing w:line="480" w:lineRule="auto"/>
      </w:pPr>
    </w:p>
    <w:p w:rsidR="00036475" w:rsidRDefault="00036475" w:rsidP="003021D4">
      <w:pPr>
        <w:pStyle w:val="ListParagraph"/>
        <w:spacing w:line="480" w:lineRule="auto"/>
      </w:pPr>
    </w:p>
    <w:p w:rsidR="00036475" w:rsidRDefault="00036475" w:rsidP="003021D4">
      <w:pPr>
        <w:pStyle w:val="ListParagraph"/>
        <w:spacing w:line="480" w:lineRule="auto"/>
      </w:pPr>
    </w:p>
    <w:p w:rsidR="009A60BD" w:rsidRDefault="0058675C" w:rsidP="0063606F">
      <w:pPr>
        <w:pStyle w:val="ListParagraph"/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7.5pt;margin-top:17.1pt;width:202.5pt;height:30.75pt;z-index:251668480" stroked="f">
            <v:textbox>
              <w:txbxContent>
                <w:p w:rsidR="00235C76" w:rsidRDefault="00235C76" w:rsidP="002958E6">
                  <w:r>
                    <w:t>Figure 1:  The Frayer Model Strategy</w:t>
                  </w:r>
                </w:p>
              </w:txbxContent>
            </v:textbox>
          </v:shape>
        </w:pict>
      </w:r>
    </w:p>
    <w:p w:rsidR="000C0476" w:rsidRDefault="000C0476" w:rsidP="0063606F">
      <w:pPr>
        <w:pStyle w:val="ListParagraph"/>
        <w:spacing w:line="480" w:lineRule="auto"/>
      </w:pPr>
    </w:p>
    <w:tbl>
      <w:tblPr>
        <w:tblStyle w:val="TableGrid"/>
        <w:tblW w:w="0" w:type="auto"/>
        <w:tblInd w:w="3168" w:type="dxa"/>
        <w:tblLook w:val="04A0"/>
      </w:tblPr>
      <w:tblGrid>
        <w:gridCol w:w="1980"/>
        <w:gridCol w:w="2250"/>
      </w:tblGrid>
      <w:tr w:rsidR="0097409C" w:rsidTr="00675D5F">
        <w:trPr>
          <w:trHeight w:val="1115"/>
        </w:trPr>
        <w:tc>
          <w:tcPr>
            <w:tcW w:w="1980" w:type="dxa"/>
          </w:tcPr>
          <w:p w:rsidR="0097409C" w:rsidRDefault="0058675C" w:rsidP="0063606F">
            <w:pPr>
              <w:pStyle w:val="ListParagraph"/>
              <w:ind w:left="0"/>
              <w:jc w:val="center"/>
            </w:pPr>
            <w:r w:rsidRPr="0058675C">
              <w:rPr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110" style="position:absolute;left:0;text-align:left;margin-left:56.85pt;margin-top:33.95pt;width:1in;height:48pt;z-index:251660288">
                  <v:textbox>
                    <w:txbxContent>
                      <w:p w:rsidR="002B2171" w:rsidRDefault="002B2171">
                        <w:r>
                          <w:t>Word</w:t>
                        </w:r>
                      </w:p>
                      <w:p w:rsidR="002B2171" w:rsidRDefault="002B2171"/>
                    </w:txbxContent>
                  </v:textbox>
                </v:shape>
              </w:pict>
            </w:r>
            <w:r w:rsidR="0097409C">
              <w:rPr>
                <w:sz w:val="16"/>
                <w:szCs w:val="16"/>
              </w:rPr>
              <w:t>Definition</w:t>
            </w:r>
          </w:p>
        </w:tc>
        <w:tc>
          <w:tcPr>
            <w:tcW w:w="2250" w:type="dxa"/>
          </w:tcPr>
          <w:p w:rsidR="0097409C" w:rsidRPr="0092129A" w:rsidRDefault="0097409C" w:rsidP="0063606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Characteristics</w:t>
            </w:r>
          </w:p>
        </w:tc>
      </w:tr>
      <w:tr w:rsidR="0097409C" w:rsidTr="00675D5F">
        <w:trPr>
          <w:trHeight w:val="1070"/>
        </w:trPr>
        <w:tc>
          <w:tcPr>
            <w:tcW w:w="1980" w:type="dxa"/>
          </w:tcPr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Pr="0092129A" w:rsidRDefault="0097409C" w:rsidP="0063606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Examples</w:t>
            </w:r>
          </w:p>
        </w:tc>
        <w:tc>
          <w:tcPr>
            <w:tcW w:w="2250" w:type="dxa"/>
          </w:tcPr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Default="0097409C" w:rsidP="0063606F">
            <w:pPr>
              <w:pStyle w:val="ListParagraph"/>
              <w:ind w:left="0"/>
              <w:jc w:val="center"/>
            </w:pPr>
          </w:p>
          <w:p w:rsidR="0097409C" w:rsidRPr="0092129A" w:rsidRDefault="0097409C" w:rsidP="0063606F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Non-Examples</w:t>
            </w:r>
          </w:p>
        </w:tc>
      </w:tr>
    </w:tbl>
    <w:p w:rsidR="0097409C" w:rsidRDefault="0097409C" w:rsidP="0063606F">
      <w:pPr>
        <w:pStyle w:val="ListParagraph"/>
        <w:spacing w:line="480" w:lineRule="auto"/>
        <w:jc w:val="center"/>
      </w:pPr>
    </w:p>
    <w:p w:rsidR="009E0B8B" w:rsidRDefault="0097409C" w:rsidP="0063606F">
      <w:pPr>
        <w:pStyle w:val="ListParagraph"/>
        <w:spacing w:line="480" w:lineRule="auto"/>
      </w:pPr>
      <w:r>
        <w:t>This gra</w:t>
      </w:r>
      <w:r w:rsidR="00BC35F9">
        <w:t xml:space="preserve">phic organizer is available in a foldable </w:t>
      </w:r>
      <w:r w:rsidR="009A60BD">
        <w:t>or three</w:t>
      </w:r>
      <w:r w:rsidR="00FE559F">
        <w:t>-</w:t>
      </w:r>
      <w:r w:rsidR="009A60BD">
        <w:t>dimensional</w:t>
      </w:r>
      <w:r w:rsidR="00D14BBB">
        <w:t xml:space="preserve"> </w:t>
      </w:r>
      <w:r w:rsidR="009A60BD">
        <w:t xml:space="preserve"> </w:t>
      </w:r>
      <w:r w:rsidR="00BC35F9">
        <w:t>format</w:t>
      </w:r>
      <w:r w:rsidR="009E0B8B">
        <w:t>, as well</w:t>
      </w:r>
      <w:r>
        <w:t xml:space="preserve">.  </w:t>
      </w:r>
      <w:r w:rsidR="00C56524">
        <w:t>Link for directions:</w:t>
      </w:r>
      <w:r w:rsidR="0095108C">
        <w:t xml:space="preserve">  </w:t>
      </w:r>
      <w:r w:rsidR="00AC4D86">
        <w:t xml:space="preserve"> </w:t>
      </w:r>
      <w:hyperlink r:id="rId10" w:history="1">
        <w:r w:rsidR="00AC4D86" w:rsidRPr="00AC4D86">
          <w:rPr>
            <w:rStyle w:val="Hyperlink"/>
          </w:rPr>
          <w:t>FoldedFrayerModelDirections_000.doc</w:t>
        </w:r>
      </w:hyperlink>
      <w:r w:rsidR="00D14BBB">
        <w:t xml:space="preserve"> </w:t>
      </w:r>
    </w:p>
    <w:p w:rsidR="00B91B2E" w:rsidRPr="00B91B2E" w:rsidRDefault="00B91B2E" w:rsidP="00B91B2E">
      <w:pPr>
        <w:spacing w:line="480" w:lineRule="auto"/>
        <w:rPr>
          <w:b/>
        </w:rPr>
      </w:pPr>
      <w:r>
        <w:rPr>
          <w:b/>
        </w:rPr>
        <w:t>Choiceboards.</w:t>
      </w:r>
    </w:p>
    <w:p w:rsidR="00AC4D86" w:rsidRDefault="00A60D0D" w:rsidP="00B91B2E">
      <w:pPr>
        <w:pStyle w:val="ListParagraph"/>
        <w:spacing w:line="480" w:lineRule="auto"/>
      </w:pPr>
      <w:r>
        <w:t xml:space="preserve">A choiceboard </w:t>
      </w:r>
      <w:r w:rsidR="00724396">
        <w:t xml:space="preserve">with </w:t>
      </w:r>
      <w:r w:rsidR="00B41E90">
        <w:t>i</w:t>
      </w:r>
      <w:r w:rsidR="00724396">
        <w:t>nviting activit</w:t>
      </w:r>
      <w:r w:rsidR="00B41E90">
        <w:t>i</w:t>
      </w:r>
      <w:r w:rsidR="00724396">
        <w:t xml:space="preserve">es </w:t>
      </w:r>
      <w:r w:rsidR="00B91B2E">
        <w:t xml:space="preserve">(see Figure 2) </w:t>
      </w:r>
      <w:r w:rsidR="00724396">
        <w:t>can</w:t>
      </w:r>
      <w:r w:rsidR="00A848C4">
        <w:t xml:space="preserve"> be used </w:t>
      </w:r>
      <w:r w:rsidR="00FE559F">
        <w:t xml:space="preserve">to </w:t>
      </w:r>
      <w:r w:rsidR="0097409C">
        <w:t>engage</w:t>
      </w:r>
      <w:r w:rsidR="00FE559F">
        <w:t xml:space="preserve"> </w:t>
      </w:r>
      <w:r w:rsidR="0097409C">
        <w:t>student</w:t>
      </w:r>
      <w:r>
        <w:t xml:space="preserve">s </w:t>
      </w:r>
      <w:r w:rsidR="00A57CB2">
        <w:t>in learning vocabulary.  A</w:t>
      </w:r>
      <w:r w:rsidR="00A848C4">
        <w:t xml:space="preserve">n example can be found </w:t>
      </w:r>
      <w:r w:rsidR="0097409C">
        <w:t>on the Russell County School Dist</w:t>
      </w:r>
      <w:r w:rsidR="00E81D47">
        <w:t>rict website</w:t>
      </w:r>
      <w:r w:rsidR="00A57CB2">
        <w:t>:</w:t>
      </w:r>
    </w:p>
    <w:p w:rsidR="0097409C" w:rsidRDefault="0058675C" w:rsidP="0063606F">
      <w:pPr>
        <w:pStyle w:val="ListParagraph"/>
        <w:spacing w:line="480" w:lineRule="auto"/>
      </w:pPr>
      <w:hyperlink r:id="rId11" w:history="1">
        <w:r w:rsidR="00CE4738" w:rsidRPr="00E717C4">
          <w:rPr>
            <w:rStyle w:val="Hyperlink"/>
          </w:rPr>
          <w:t>http://www.russell.k12.va.us/itrt/Dan%20Mulligan/Vocabulary_Vitamins.ppt</w:t>
        </w:r>
      </w:hyperlink>
      <w:r w:rsidR="00CE4738">
        <w:t xml:space="preserve">. </w:t>
      </w:r>
      <w:r w:rsidR="00AD4EC3">
        <w:t xml:space="preserve"> </w:t>
      </w: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036475" w:rsidRDefault="00036475" w:rsidP="0063606F">
      <w:pPr>
        <w:pStyle w:val="ListParagraph"/>
        <w:spacing w:line="480" w:lineRule="auto"/>
      </w:pPr>
    </w:p>
    <w:p w:rsidR="00A57CB2" w:rsidRDefault="0058675C" w:rsidP="00FF5C83">
      <w:r>
        <w:rPr>
          <w:noProof/>
        </w:rPr>
        <w:pict>
          <v:shape id="_x0000_s1036" type="#_x0000_t202" style="position:absolute;margin-left:47.25pt;margin-top:-13.5pt;width:158.25pt;height:23.9pt;z-index:251669504" stroked="f">
            <v:textbox>
              <w:txbxContent>
                <w:p w:rsidR="00A57CB2" w:rsidRDefault="00A57CB2">
                  <w:r>
                    <w:t xml:space="preserve">Figure 2:  </w:t>
                  </w:r>
                  <w:proofErr w:type="spellStart"/>
                  <w:r>
                    <w:t>Choiceboard</w:t>
                  </w:r>
                  <w:proofErr w:type="spellEnd"/>
                  <w:r>
                    <w:t xml:space="preserve"> Example</w:t>
                  </w:r>
                </w:p>
              </w:txbxContent>
            </v:textbox>
          </v:shape>
        </w:pict>
      </w:r>
    </w:p>
    <w:p w:rsidR="000C0476" w:rsidRDefault="000C0476" w:rsidP="00FF5C83"/>
    <w:p w:rsidR="0045405C" w:rsidRDefault="0058675C" w:rsidP="00FF5C83">
      <w:r>
        <w:rPr>
          <w:noProof/>
        </w:rPr>
        <w:pict>
          <v:shape id="_x0000_s1033" type="#_x0000_t202" style="position:absolute;margin-left:42.75pt;margin-top:-27.75pt;width:351pt;height:332.25pt;z-index:251667456">
            <v:textbox>
              <w:txbxContent>
                <w:tbl>
                  <w:tblPr>
                    <w:tblW w:w="689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8"/>
                    <w:gridCol w:w="2298"/>
                    <w:gridCol w:w="2298"/>
                  </w:tblGrid>
                  <w:tr w:rsidR="00E57472" w:rsidRPr="0097409C" w:rsidTr="005455D6">
                    <w:trPr>
                      <w:trHeight w:val="1084"/>
                    </w:trPr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Role-play the meaning of the word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Design a banner or flag for the word.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Sell the word by writing an advertisement for it.</w:t>
                        </w:r>
                      </w:p>
                    </w:tc>
                  </w:tr>
                  <w:tr w:rsidR="00E57472" w:rsidRPr="0097409C" w:rsidTr="005455D6">
                    <w:trPr>
                      <w:trHeight w:val="1084"/>
                    </w:trPr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9900"/>
                            <w:kern w:val="24"/>
                            <w:sz w:val="16"/>
                            <w:szCs w:val="16"/>
                          </w:rPr>
                          <w:t>Make a mnemonic to remember the word and its meaning.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FF0000"/>
                            <w:kern w:val="24"/>
                            <w:sz w:val="16"/>
                            <w:szCs w:val="16"/>
                          </w:rPr>
                          <w:t>Make a word puzzle or a game.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9900"/>
                            <w:kern w:val="24"/>
                            <w:sz w:val="16"/>
                            <w:szCs w:val="16"/>
                          </w:rPr>
                          <w:t>Contrast the word with something else.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E57472" w:rsidRPr="0097409C" w:rsidTr="005455D6">
                    <w:trPr>
                      <w:trHeight w:val="1084"/>
                    </w:trPr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>Write a poem with the word, its meaning, and facts about the word.  Illustrate it.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9900"/>
                            <w:kern w:val="24"/>
                            <w:sz w:val="16"/>
                            <w:szCs w:val="16"/>
                          </w:rPr>
                          <w:t>Tell a story using the word three times in the plot.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>Teach the word and its meaning in a memorable way to a classmate or family member.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E57472" w:rsidRPr="0097409C" w:rsidTr="005455D6">
                    <w:trPr>
                      <w:trHeight w:val="1084"/>
                    </w:trPr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FF0000"/>
                            <w:kern w:val="24"/>
                            <w:sz w:val="16"/>
                            <w:szCs w:val="16"/>
                          </w:rPr>
                          <w:t>Explain how the word is used in the text.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>Divide the word into syllables.  Chant and tap the syllables.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FF0000"/>
                            <w:kern w:val="24"/>
                            <w:sz w:val="16"/>
                            <w:szCs w:val="16"/>
                          </w:rPr>
                          <w:t>Create a song, poem, cheer or rap using the word as the topic.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E57472" w:rsidRPr="0097409C" w:rsidTr="005455D6">
                    <w:trPr>
                      <w:trHeight w:val="1084"/>
                    </w:trPr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FF0000"/>
                            <w:kern w:val="24"/>
                            <w:sz w:val="16"/>
                            <w:szCs w:val="16"/>
                          </w:rPr>
                          <w:t>Connect the word with something in your world and discuss it.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auto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>Locate the word in the text and read the paragraph to get context meaning.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0C0C0"/>
                        <w:tcMar>
                          <w:top w:w="72" w:type="dxa"/>
                          <w:left w:w="144" w:type="dxa"/>
                          <w:bottom w:w="72" w:type="dxa"/>
                          <w:right w:w="144" w:type="dxa"/>
                        </w:tcMar>
                        <w:vAlign w:val="center"/>
                        <w:hideMark/>
                      </w:tcPr>
                      <w:p w:rsidR="00E57472" w:rsidRPr="0097409C" w:rsidRDefault="00E57472" w:rsidP="005455D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7409C">
                          <w:rPr>
                            <w:rFonts w:ascii="Tahoma" w:eastAsia="Times New Roman" w:hAnsi="Tahoma" w:cs="Tahoma"/>
                            <w:color w:val="009900"/>
                            <w:kern w:val="24"/>
                            <w:sz w:val="16"/>
                            <w:szCs w:val="16"/>
                          </w:rPr>
                          <w:t>Create a design that depicts the meaning if the word.</w:t>
                        </w:r>
                        <w:r w:rsidRPr="0097409C">
                          <w:rPr>
                            <w:rFonts w:ascii="Arial" w:eastAsia="Times New Roman" w:hAnsi="Arial" w:cs="Tahoma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E57472" w:rsidRDefault="00E57472"/>
              </w:txbxContent>
            </v:textbox>
          </v:shape>
        </w:pict>
      </w:r>
    </w:p>
    <w:p w:rsidR="007F7D97" w:rsidRDefault="007F7D97" w:rsidP="00E57472">
      <w:pPr>
        <w:pStyle w:val="ListParagraph"/>
      </w:pPr>
    </w:p>
    <w:p w:rsidR="007F7D97" w:rsidRDefault="007F7D97" w:rsidP="007F7D97">
      <w:pPr>
        <w:pStyle w:val="ListParagraph"/>
      </w:pPr>
    </w:p>
    <w:p w:rsidR="007F7D97" w:rsidRDefault="007F7D97" w:rsidP="007F7D97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E57472" w:rsidRDefault="00E57472" w:rsidP="00E57472">
      <w:pPr>
        <w:pStyle w:val="ListParagraph"/>
      </w:pPr>
    </w:p>
    <w:p w:rsidR="00FC1DAA" w:rsidRDefault="00FC1DAA" w:rsidP="00A57CB2">
      <w:pPr>
        <w:pStyle w:val="ListParagraph"/>
        <w:spacing w:line="480" w:lineRule="auto"/>
      </w:pPr>
    </w:p>
    <w:p w:rsidR="00FC1DAA" w:rsidRDefault="00FC1DAA" w:rsidP="00A57CB2">
      <w:pPr>
        <w:pStyle w:val="ListParagraph"/>
        <w:spacing w:line="480" w:lineRule="auto"/>
      </w:pPr>
    </w:p>
    <w:p w:rsidR="00FC1DAA" w:rsidRDefault="00FC1DAA" w:rsidP="00A57CB2">
      <w:pPr>
        <w:pStyle w:val="ListParagraph"/>
        <w:spacing w:line="480" w:lineRule="auto"/>
      </w:pPr>
    </w:p>
    <w:p w:rsidR="00FC1DAA" w:rsidRDefault="00FC1DAA" w:rsidP="00A57CB2">
      <w:pPr>
        <w:pStyle w:val="ListParagraph"/>
        <w:spacing w:line="480" w:lineRule="auto"/>
      </w:pPr>
    </w:p>
    <w:p w:rsidR="00FC1DAA" w:rsidRDefault="00FC1DAA" w:rsidP="00A57CB2">
      <w:pPr>
        <w:pStyle w:val="ListParagraph"/>
        <w:spacing w:line="480" w:lineRule="auto"/>
      </w:pPr>
    </w:p>
    <w:p w:rsidR="00FC1DAA" w:rsidRDefault="00FC1DAA" w:rsidP="00A57CB2">
      <w:pPr>
        <w:pStyle w:val="ListParagraph"/>
        <w:spacing w:line="480" w:lineRule="auto"/>
      </w:pPr>
    </w:p>
    <w:p w:rsidR="00FC1DAA" w:rsidRPr="00FC1DAA" w:rsidRDefault="00FC1DAA" w:rsidP="00FC1DAA">
      <w:pPr>
        <w:pStyle w:val="ListParagraph"/>
        <w:spacing w:line="480" w:lineRule="auto"/>
        <w:ind w:left="0"/>
        <w:rPr>
          <w:b/>
        </w:rPr>
      </w:pPr>
      <w:r>
        <w:rPr>
          <w:b/>
        </w:rPr>
        <w:t>RAFTS.</w:t>
      </w:r>
    </w:p>
    <w:p w:rsidR="008E1953" w:rsidRDefault="00117F09" w:rsidP="00A57CB2">
      <w:pPr>
        <w:pStyle w:val="ListParagraph"/>
        <w:spacing w:line="480" w:lineRule="auto"/>
      </w:pPr>
      <w:r>
        <w:t>R</w:t>
      </w:r>
      <w:r w:rsidR="00B20D68">
        <w:t>ick Wormel</w:t>
      </w:r>
      <w:r w:rsidR="004F0E02">
        <w:t>i has suggested a “RAFT</w:t>
      </w:r>
      <w:r w:rsidR="008E1953">
        <w:t>”</w:t>
      </w:r>
      <w:r w:rsidR="004F0E02">
        <w:t xml:space="preserve"> (Role, Audience, Format, Topic)  to differentiate activities</w:t>
      </w:r>
      <w:r w:rsidR="005179FF">
        <w:t xml:space="preserve"> for diverse learners</w:t>
      </w:r>
      <w:r w:rsidR="00B155CC">
        <w:t xml:space="preserve">  </w:t>
      </w:r>
      <w:r w:rsidR="005179FF">
        <w:t>(see Figure 3).</w:t>
      </w:r>
    </w:p>
    <w:p w:rsidR="002838AC" w:rsidRDefault="0058675C" w:rsidP="00A57CB2">
      <w:pPr>
        <w:pStyle w:val="ListParagraph"/>
        <w:spacing w:line="480" w:lineRule="auto"/>
      </w:pPr>
      <w:r>
        <w:rPr>
          <w:noProof/>
        </w:rPr>
        <w:pict>
          <v:shape id="_x0000_s1037" type="#_x0000_t202" style="position:absolute;left:0;text-align:left;margin-left:35.25pt;margin-top:10.1pt;width:129pt;height:20.25pt;z-index:251670528" stroked="f">
            <v:textbox>
              <w:txbxContent>
                <w:p w:rsidR="002838AC" w:rsidRDefault="002838AC">
                  <w:r>
                    <w:t>Figure 3:  RAFT Example</w:t>
                  </w:r>
                </w:p>
              </w:txbxContent>
            </v:textbox>
          </v:shape>
        </w:pict>
      </w:r>
    </w:p>
    <w:p w:rsidR="005A53AE" w:rsidRDefault="005A53AE" w:rsidP="005A53A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188"/>
        <w:gridCol w:w="2220"/>
        <w:gridCol w:w="2220"/>
        <w:gridCol w:w="2228"/>
      </w:tblGrid>
      <w:tr w:rsidR="00565331" w:rsidRPr="00C7566F" w:rsidTr="00C7566F">
        <w:tc>
          <w:tcPr>
            <w:tcW w:w="2188" w:type="dxa"/>
            <w:shd w:val="clear" w:color="auto" w:fill="244061" w:themeFill="accent1" w:themeFillShade="80"/>
          </w:tcPr>
          <w:p w:rsidR="00565331" w:rsidRPr="00C7566F" w:rsidRDefault="00565331" w:rsidP="00C7566F">
            <w:pPr>
              <w:pStyle w:val="ListParagraph"/>
              <w:ind w:left="0"/>
              <w:jc w:val="center"/>
              <w:rPr>
                <w:b/>
              </w:rPr>
            </w:pPr>
            <w:r w:rsidRPr="00C7566F">
              <w:rPr>
                <w:b/>
              </w:rPr>
              <w:t>Role</w:t>
            </w:r>
          </w:p>
        </w:tc>
        <w:tc>
          <w:tcPr>
            <w:tcW w:w="2220" w:type="dxa"/>
            <w:shd w:val="clear" w:color="auto" w:fill="244061" w:themeFill="accent1" w:themeFillShade="80"/>
          </w:tcPr>
          <w:p w:rsidR="00565331" w:rsidRPr="00C7566F" w:rsidRDefault="00565331" w:rsidP="00C7566F">
            <w:pPr>
              <w:pStyle w:val="ListParagraph"/>
              <w:ind w:left="0"/>
              <w:jc w:val="center"/>
              <w:rPr>
                <w:b/>
              </w:rPr>
            </w:pPr>
            <w:r w:rsidRPr="00C7566F">
              <w:rPr>
                <w:b/>
              </w:rPr>
              <w:t>Audience</w:t>
            </w:r>
          </w:p>
        </w:tc>
        <w:tc>
          <w:tcPr>
            <w:tcW w:w="2220" w:type="dxa"/>
            <w:shd w:val="clear" w:color="auto" w:fill="244061" w:themeFill="accent1" w:themeFillShade="80"/>
          </w:tcPr>
          <w:p w:rsidR="00565331" w:rsidRPr="00C7566F" w:rsidRDefault="00565331" w:rsidP="00C7566F">
            <w:pPr>
              <w:pStyle w:val="ListParagraph"/>
              <w:ind w:left="0"/>
              <w:jc w:val="center"/>
              <w:rPr>
                <w:b/>
              </w:rPr>
            </w:pPr>
            <w:r w:rsidRPr="00C7566F">
              <w:rPr>
                <w:b/>
              </w:rPr>
              <w:t>Format</w:t>
            </w:r>
          </w:p>
        </w:tc>
        <w:tc>
          <w:tcPr>
            <w:tcW w:w="2228" w:type="dxa"/>
            <w:shd w:val="clear" w:color="auto" w:fill="244061" w:themeFill="accent1" w:themeFillShade="80"/>
          </w:tcPr>
          <w:p w:rsidR="00565331" w:rsidRPr="00C7566F" w:rsidRDefault="00565331" w:rsidP="00C7566F">
            <w:pPr>
              <w:pStyle w:val="ListParagraph"/>
              <w:ind w:left="0"/>
              <w:jc w:val="center"/>
              <w:rPr>
                <w:b/>
              </w:rPr>
            </w:pPr>
            <w:r w:rsidRPr="00C7566F">
              <w:rPr>
                <w:b/>
              </w:rPr>
              <w:t>Topic</w:t>
            </w:r>
          </w:p>
        </w:tc>
      </w:tr>
      <w:tr w:rsidR="00565331" w:rsidTr="00C7566F">
        <w:tc>
          <w:tcPr>
            <w:tcW w:w="2188" w:type="dxa"/>
          </w:tcPr>
          <w:p w:rsidR="00565331" w:rsidRDefault="00565331" w:rsidP="005A53AE">
            <w:pPr>
              <w:pStyle w:val="ListParagraph"/>
              <w:ind w:left="0"/>
              <w:jc w:val="center"/>
            </w:pPr>
            <w:r>
              <w:t>You are a second grade teacher.</w:t>
            </w:r>
          </w:p>
        </w:tc>
        <w:tc>
          <w:tcPr>
            <w:tcW w:w="2220" w:type="dxa"/>
          </w:tcPr>
          <w:p w:rsidR="00565331" w:rsidRDefault="00565331" w:rsidP="005A53AE">
            <w:pPr>
              <w:pStyle w:val="ListParagraph"/>
              <w:ind w:left="0"/>
              <w:jc w:val="center"/>
            </w:pPr>
            <w:r>
              <w:t>You must teach this vocabulary to your second grade students.</w:t>
            </w:r>
          </w:p>
        </w:tc>
        <w:tc>
          <w:tcPr>
            <w:tcW w:w="2220" w:type="dxa"/>
          </w:tcPr>
          <w:p w:rsidR="00565331" w:rsidRDefault="00565331" w:rsidP="005A53AE">
            <w:pPr>
              <w:pStyle w:val="ListParagraph"/>
              <w:ind w:left="0"/>
              <w:jc w:val="center"/>
            </w:pPr>
            <w:r>
              <w:t>You must provide the vocabulary word with a visual that conveys the meaning of that word.</w:t>
            </w:r>
          </w:p>
        </w:tc>
        <w:tc>
          <w:tcPr>
            <w:tcW w:w="2228" w:type="dxa"/>
          </w:tcPr>
          <w:p w:rsidR="00565331" w:rsidRDefault="00565331" w:rsidP="005A53AE">
            <w:pPr>
              <w:pStyle w:val="ListParagraph"/>
              <w:ind w:left="0"/>
              <w:jc w:val="center"/>
            </w:pPr>
            <w:r>
              <w:t>Ecosystems</w:t>
            </w:r>
          </w:p>
        </w:tc>
      </w:tr>
      <w:tr w:rsidR="00565331" w:rsidTr="00C7566F">
        <w:tc>
          <w:tcPr>
            <w:tcW w:w="2188" w:type="dxa"/>
          </w:tcPr>
          <w:p w:rsidR="00565331" w:rsidRDefault="00BD527B" w:rsidP="005A53AE">
            <w:pPr>
              <w:pStyle w:val="ListParagraph"/>
              <w:ind w:left="0"/>
              <w:jc w:val="center"/>
            </w:pPr>
            <w:r>
              <w:t>You are an eighth grade student.</w:t>
            </w:r>
          </w:p>
        </w:tc>
        <w:tc>
          <w:tcPr>
            <w:tcW w:w="2220" w:type="dxa"/>
          </w:tcPr>
          <w:p w:rsidR="00565331" w:rsidRDefault="00BD527B" w:rsidP="005A53AE">
            <w:pPr>
              <w:pStyle w:val="ListParagraph"/>
              <w:ind w:left="0"/>
              <w:jc w:val="center"/>
            </w:pPr>
            <w:r>
              <w:t>Your peers</w:t>
            </w:r>
          </w:p>
        </w:tc>
        <w:tc>
          <w:tcPr>
            <w:tcW w:w="2220" w:type="dxa"/>
          </w:tcPr>
          <w:p w:rsidR="00565331" w:rsidRDefault="00BD527B" w:rsidP="005A53AE">
            <w:pPr>
              <w:pStyle w:val="ListParagraph"/>
              <w:ind w:left="0"/>
              <w:jc w:val="center"/>
            </w:pPr>
            <w:r>
              <w:t>Charades</w:t>
            </w:r>
          </w:p>
        </w:tc>
        <w:tc>
          <w:tcPr>
            <w:tcW w:w="2228" w:type="dxa"/>
          </w:tcPr>
          <w:p w:rsidR="00565331" w:rsidRPr="00BD527B" w:rsidRDefault="00BD527B" w:rsidP="005A53AE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t xml:space="preserve">Selected vocabulary from </w:t>
            </w:r>
            <w:r>
              <w:rPr>
                <w:u w:val="single"/>
              </w:rPr>
              <w:t>The Outsiders</w:t>
            </w:r>
          </w:p>
        </w:tc>
      </w:tr>
    </w:tbl>
    <w:p w:rsidR="005A53AE" w:rsidRDefault="005A53AE" w:rsidP="005A53AE">
      <w:pPr>
        <w:pStyle w:val="ListParagraph"/>
        <w:jc w:val="center"/>
      </w:pPr>
    </w:p>
    <w:p w:rsidR="00AD4EC3" w:rsidRDefault="00AD4EC3" w:rsidP="005A53AE">
      <w:pPr>
        <w:pStyle w:val="ListParagraph"/>
        <w:jc w:val="center"/>
      </w:pPr>
    </w:p>
    <w:p w:rsidR="00536FAA" w:rsidRDefault="008E3349" w:rsidP="008E3349">
      <w:pPr>
        <w:pStyle w:val="ListParagraph"/>
        <w:spacing w:line="480" w:lineRule="auto"/>
      </w:pPr>
      <w:r>
        <w:t xml:space="preserve">In addition to the elements shown in Figure 3, </w:t>
      </w:r>
      <w:r w:rsidR="00AD4EC3">
        <w:t xml:space="preserve">two or three additional scenarios </w:t>
      </w:r>
      <w:r>
        <w:t>will be constructed on the “RAFT</w:t>
      </w:r>
      <w:r w:rsidR="00AD4EC3">
        <w:t>” to p</w:t>
      </w:r>
      <w:r>
        <w:t>rovide choices for the students</w:t>
      </w:r>
      <w:r w:rsidR="009F5520">
        <w:t xml:space="preserve"> (Wormel</w:t>
      </w:r>
      <w:r w:rsidR="00AD4EC3">
        <w:t>i, 2006)</w:t>
      </w:r>
      <w:r>
        <w:t>.</w:t>
      </w:r>
      <w:r w:rsidR="004148FA">
        <w:t xml:space="preserve">  </w:t>
      </w:r>
      <w:r>
        <w:t>Additional suggestions for RAFTS and RAFT</w:t>
      </w:r>
      <w:r w:rsidR="004148FA">
        <w:t xml:space="preserve"> ru</w:t>
      </w:r>
      <w:r>
        <w:t>brics can be found at</w:t>
      </w:r>
      <w:r w:rsidR="004148FA">
        <w:t xml:space="preserve"> </w:t>
      </w:r>
      <w:hyperlink r:id="rId12" w:history="1">
        <w:r w:rsidR="004148FA" w:rsidRPr="004148FA">
          <w:rPr>
            <w:rStyle w:val="Hyperlink"/>
          </w:rPr>
          <w:t>daretodifferentiate.wikispaces.com/R.A.F.T.+Assignments</w:t>
        </w:r>
      </w:hyperlink>
      <w:r w:rsidR="004148FA">
        <w:t xml:space="preserve">  (Retrieved September 1, 2009 from Dare to Differentiate Wikispaces)</w:t>
      </w:r>
      <w:r>
        <w:t xml:space="preserve">.  </w:t>
      </w:r>
      <w:r w:rsidR="003E3406">
        <w:t xml:space="preserve"> RAFT</w:t>
      </w:r>
      <w:r w:rsidR="00536FAA">
        <w:t>s might also be used with the headings on the left margin and the assignments given according to difficulty of task completion.</w:t>
      </w:r>
    </w:p>
    <w:p w:rsidR="00E027B7" w:rsidRDefault="00E027B7" w:rsidP="008E3349">
      <w:pPr>
        <w:pStyle w:val="ListParagraph"/>
        <w:spacing w:line="480" w:lineRule="auto"/>
      </w:pPr>
    </w:p>
    <w:p w:rsidR="00D14BBB" w:rsidRPr="00E027B7" w:rsidRDefault="00E027B7" w:rsidP="00E027B7">
      <w:pPr>
        <w:pStyle w:val="ListParagraph"/>
        <w:spacing w:line="480" w:lineRule="auto"/>
        <w:ind w:left="0"/>
        <w:jc w:val="both"/>
        <w:rPr>
          <w:b/>
        </w:rPr>
      </w:pPr>
      <w:r>
        <w:rPr>
          <w:b/>
        </w:rPr>
        <w:t>Vocabulary Cards.</w:t>
      </w:r>
    </w:p>
    <w:p w:rsidR="004354B0" w:rsidRDefault="0058675C" w:rsidP="00E027B7">
      <w:pPr>
        <w:pStyle w:val="ListParagraph"/>
        <w:spacing w:line="480" w:lineRule="auto"/>
      </w:pPr>
      <w:r>
        <w:rPr>
          <w:noProof/>
        </w:rPr>
        <w:pict>
          <v:shape id="_x0000_s1038" type="#_x0000_t202" style="position:absolute;left:0;text-align:left;margin-left:111.75pt;margin-top:22.65pt;width:181.5pt;height:22.05pt;z-index:251671552" stroked="f">
            <v:textbox>
              <w:txbxContent>
                <w:p w:rsidR="00E027B7" w:rsidRDefault="00E027B7">
                  <w:r>
                    <w:t>Figure 4:  Vocabulary Card Example</w:t>
                  </w:r>
                </w:p>
              </w:txbxContent>
            </v:textbox>
          </v:shape>
        </w:pict>
      </w:r>
      <w:r w:rsidR="001F6E0A">
        <w:t xml:space="preserve">Coffman </w:t>
      </w:r>
      <w:r w:rsidR="00E027B7">
        <w:t xml:space="preserve"> (2009) </w:t>
      </w:r>
      <w:r w:rsidR="001F6E0A">
        <w:t xml:space="preserve">suggests </w:t>
      </w:r>
      <w:r w:rsidR="004354B0">
        <w:t>vocabulary cards, used at the Shelton School</w:t>
      </w:r>
      <w:r w:rsidR="00E027B7">
        <w:t>,</w:t>
      </w:r>
      <w:r w:rsidR="004354B0">
        <w:t xml:space="preserve"> to pre-teach vocabulary.</w:t>
      </w:r>
      <w:r w:rsidR="009B2D3C">
        <w:t xml:space="preserve"> </w:t>
      </w:r>
    </w:p>
    <w:p w:rsidR="004354B0" w:rsidRDefault="004354B0" w:rsidP="004354B0">
      <w:pPr>
        <w:pStyle w:val="ListParagraph"/>
      </w:pPr>
    </w:p>
    <w:p w:rsidR="004354B0" w:rsidRDefault="0058675C" w:rsidP="004354B0">
      <w:pPr>
        <w:pStyle w:val="ListParagraph"/>
        <w:jc w:val="center"/>
      </w:pPr>
      <w:r>
        <w:rPr>
          <w:noProof/>
        </w:rPr>
        <w:pict>
          <v:rect id="_x0000_s1027" style="position:absolute;left:0;text-align:left;margin-left:108pt;margin-top:9.15pt;width:209.25pt;height:155.25pt;z-index:251662336"/>
        </w:pict>
      </w:r>
    </w:p>
    <w:p w:rsidR="005A53AE" w:rsidRDefault="0058675C" w:rsidP="005A53AE">
      <w:pPr>
        <w:pStyle w:val="ListParagraph"/>
      </w:pPr>
      <w:r>
        <w:rPr>
          <w:noProof/>
        </w:rPr>
        <w:pict>
          <v:shape id="_x0000_s1030" type="#_x0000_t202" style="position:absolute;left:0;text-align:left;margin-left:267pt;margin-top:7.2pt;width:30.75pt;height:44.25pt;z-index:251665408">
            <v:textbox style="layout-flow:vertical;mso-layout-flow-alt:bottom-to-top">
              <w:txbxContent>
                <w:p w:rsidR="0043407F" w:rsidRDefault="001404F5">
                  <w:r w:rsidRPr="001404F5">
                    <w:rPr>
                      <w:sz w:val="20"/>
                      <w:szCs w:val="20"/>
                    </w:rPr>
                    <w:t>Pictur</w:t>
                  </w:r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16.25pt;margin-top:7.2pt;width:27.75pt;height:44.25pt;z-index:251664384">
            <v:textbox style="layout-flow:vertical;mso-layout-flow-alt:bottom-to-top">
              <w:txbxContent>
                <w:p w:rsidR="004354B0" w:rsidRDefault="00F52C9D">
                  <w:r>
                    <w:t>P</w:t>
                  </w:r>
                  <w:r w:rsidR="004354B0">
                    <w:t>icture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1pt;margin-top:2.7pt;width:1in;height:48.75pt;z-index:251663360">
            <v:textbox>
              <w:txbxContent>
                <w:p w:rsidR="004354B0" w:rsidRDefault="004354B0">
                  <w:r>
                    <w:t>Vocabulary</w:t>
                  </w:r>
                </w:p>
                <w:p w:rsidR="004354B0" w:rsidRDefault="004354B0">
                  <w:r>
                    <w:t>Word</w:t>
                  </w:r>
                </w:p>
              </w:txbxContent>
            </v:textbox>
          </v:shape>
        </w:pict>
      </w:r>
    </w:p>
    <w:p w:rsidR="0097409C" w:rsidRDefault="0097409C"/>
    <w:p w:rsidR="0097409C" w:rsidRDefault="0058675C">
      <w:r>
        <w:rPr>
          <w:noProof/>
        </w:rPr>
        <w:pict>
          <v:shape id="_x0000_s1031" type="#_x0000_t202" style="position:absolute;margin-left:111.75pt;margin-top:5.1pt;width:191.25pt;height:84.75pt;z-index:251666432">
            <v:textbox>
              <w:txbxContent>
                <w:p w:rsidR="001F6E0A" w:rsidRDefault="001F6E0A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Prior Knowledge:</w:t>
                  </w:r>
                  <w:r w:rsidR="00355D47">
                    <w:rPr>
                      <w:sz w:val="20"/>
                      <w:szCs w:val="20"/>
                    </w:rPr>
                    <w:tab/>
                    <w:t xml:space="preserve">            Meaning:</w:t>
                  </w:r>
                </w:p>
                <w:p w:rsidR="001F6E0A" w:rsidRDefault="001F6E0A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Syllable Type:</w:t>
                  </w:r>
                  <w:r w:rsidR="00355D47">
                    <w:rPr>
                      <w:sz w:val="20"/>
                      <w:szCs w:val="20"/>
                    </w:rPr>
                    <w:t xml:space="preserve">                   </w:t>
                  </w:r>
                </w:p>
                <w:p w:rsidR="00355D47" w:rsidRDefault="00355D47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Coding:</w:t>
                  </w:r>
                </w:p>
                <w:p w:rsidR="00355D47" w:rsidRDefault="00355D47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Word origin:</w:t>
                  </w:r>
                </w:p>
                <w:p w:rsidR="001F6E0A" w:rsidRDefault="001F6E0A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1F6E0A" w:rsidRPr="001F6E0A" w:rsidRDefault="001F6E0A" w:rsidP="001F6E0A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7409C" w:rsidRDefault="0097409C"/>
    <w:p w:rsidR="0097409C" w:rsidRDefault="0097409C"/>
    <w:p w:rsidR="00931A4D" w:rsidRPr="00E027B7" w:rsidRDefault="00931A4D">
      <w:pPr>
        <w:rPr>
          <w:b/>
        </w:rPr>
      </w:pPr>
    </w:p>
    <w:p w:rsidR="00E027B7" w:rsidRDefault="00E027B7"/>
    <w:p w:rsidR="00E027B7" w:rsidRPr="00E027B7" w:rsidRDefault="00E027B7">
      <w:pPr>
        <w:rPr>
          <w:b/>
        </w:rPr>
      </w:pPr>
      <w:r>
        <w:rPr>
          <w:b/>
        </w:rPr>
        <w:t>Vocabulary Instruction</w:t>
      </w:r>
    </w:p>
    <w:p w:rsidR="00931A4D" w:rsidRDefault="00931A4D" w:rsidP="00E027B7">
      <w:pPr>
        <w:pStyle w:val="ListParagraph"/>
        <w:spacing w:line="480" w:lineRule="auto"/>
      </w:pPr>
      <w:r>
        <w:t xml:space="preserve">Marzano </w:t>
      </w:r>
      <w:r w:rsidR="00E027B7">
        <w:t>and Pickering (2005) recommend</w:t>
      </w:r>
      <w:r>
        <w:t xml:space="preserve"> a “six-step” method for teaching vocabulary.</w:t>
      </w:r>
    </w:p>
    <w:p w:rsidR="00931A4D" w:rsidRDefault="00E027B7" w:rsidP="0063606F">
      <w:pPr>
        <w:pStyle w:val="ListParagraph"/>
        <w:spacing w:line="480" w:lineRule="auto"/>
        <w:ind w:left="1440"/>
      </w:pPr>
      <w:r>
        <w:t>1.  Teacher p</w:t>
      </w:r>
      <w:r w:rsidR="001F6E0A">
        <w:t>rovide</w:t>
      </w:r>
      <w:r>
        <w:t>s</w:t>
      </w:r>
      <w:r w:rsidR="001F6E0A">
        <w:t xml:space="preserve"> a description, explanation, or example of the new term.</w:t>
      </w:r>
    </w:p>
    <w:p w:rsidR="00931A4D" w:rsidRDefault="00E027B7" w:rsidP="0063606F">
      <w:pPr>
        <w:pStyle w:val="ListParagraph"/>
        <w:spacing w:line="480" w:lineRule="auto"/>
        <w:ind w:left="1440"/>
      </w:pPr>
      <w:r>
        <w:t xml:space="preserve">2.  </w:t>
      </w:r>
      <w:r w:rsidR="00EA0FAD">
        <w:t xml:space="preserve"> Students </w:t>
      </w:r>
      <w:r w:rsidR="001F6E0A">
        <w:t>restate the description in their own words.</w:t>
      </w:r>
    </w:p>
    <w:p w:rsidR="00931A4D" w:rsidRDefault="00E027B7" w:rsidP="0063606F">
      <w:pPr>
        <w:pStyle w:val="ListParagraph"/>
        <w:spacing w:line="480" w:lineRule="auto"/>
        <w:ind w:left="1440"/>
      </w:pPr>
      <w:r>
        <w:t>3.  Students c</w:t>
      </w:r>
      <w:r w:rsidR="001F6E0A">
        <w:t>onstruc</w:t>
      </w:r>
      <w:r w:rsidR="00EA0FAD">
        <w:t xml:space="preserve">t a </w:t>
      </w:r>
      <w:r w:rsidR="001F6E0A">
        <w:t>graphic representing the term.</w:t>
      </w:r>
    </w:p>
    <w:p w:rsidR="00931A4D" w:rsidRDefault="00E027B7" w:rsidP="0063606F">
      <w:pPr>
        <w:pStyle w:val="ListParagraph"/>
        <w:spacing w:line="480" w:lineRule="auto"/>
        <w:ind w:left="1440"/>
      </w:pPr>
      <w:r>
        <w:t>4.  Students e</w:t>
      </w:r>
      <w:r w:rsidR="001F6E0A">
        <w:t>ngage in activities that add to knowledge of the term in their notebooks.</w:t>
      </w:r>
    </w:p>
    <w:p w:rsidR="00931A4D" w:rsidRDefault="00E027B7" w:rsidP="0063606F">
      <w:pPr>
        <w:pStyle w:val="ListParagraph"/>
        <w:spacing w:line="480" w:lineRule="auto"/>
        <w:ind w:left="1440"/>
      </w:pPr>
      <w:r>
        <w:t xml:space="preserve">5.   </w:t>
      </w:r>
      <w:r w:rsidR="00EA0FAD">
        <w:t xml:space="preserve">Students </w:t>
      </w:r>
      <w:r w:rsidR="001F6E0A">
        <w:t>discuss the terms with one another.</w:t>
      </w:r>
    </w:p>
    <w:p w:rsidR="0063606F" w:rsidRDefault="00A771CB" w:rsidP="0063606F">
      <w:pPr>
        <w:pStyle w:val="ListParagraph"/>
        <w:spacing w:line="480" w:lineRule="auto"/>
        <w:ind w:left="1440"/>
      </w:pPr>
      <w:r>
        <w:t xml:space="preserve">6.   Teachers </w:t>
      </w:r>
      <w:r w:rsidR="00E027B7">
        <w:t>e</w:t>
      </w:r>
      <w:r w:rsidR="001F6E0A">
        <w:t>ngage</w:t>
      </w:r>
      <w:r>
        <w:t xml:space="preserve"> students</w:t>
      </w:r>
      <w:r w:rsidR="001F6E0A">
        <w:t xml:space="preserve"> in games that allow play with the terms.</w:t>
      </w:r>
    </w:p>
    <w:p w:rsidR="00047FDB" w:rsidRDefault="00B462FF" w:rsidP="00047FDB">
      <w:pPr>
        <w:pStyle w:val="ListParagraph"/>
        <w:spacing w:line="480" w:lineRule="auto"/>
        <w:ind w:left="0"/>
      </w:pPr>
      <w:r>
        <w:t>Use of the activities for f</w:t>
      </w:r>
      <w:r w:rsidR="000C0476">
        <w:t xml:space="preserve">rontloading </w:t>
      </w:r>
      <w:r w:rsidR="00047FDB">
        <w:t>vocabulary</w:t>
      </w:r>
      <w:r w:rsidR="000C0476">
        <w:t xml:space="preserve"> can</w:t>
      </w:r>
      <w:r>
        <w:t xml:space="preserve"> facilitate deeper comprehension of critical content.</w:t>
      </w:r>
      <w:r w:rsidR="000C0476">
        <w:t xml:space="preserve"> </w:t>
      </w:r>
      <w:r w:rsidR="00047FDB">
        <w:t xml:space="preserve"> </w:t>
      </w:r>
    </w:p>
    <w:p w:rsidR="003C5B1C" w:rsidRPr="00C7566F" w:rsidRDefault="003C5B1C" w:rsidP="00E027B7">
      <w:pPr>
        <w:jc w:val="center"/>
        <w:rPr>
          <w:b/>
        </w:rPr>
      </w:pPr>
      <w:r w:rsidRPr="00C7566F">
        <w:rPr>
          <w:b/>
        </w:rPr>
        <w:t>References</w:t>
      </w:r>
    </w:p>
    <w:p w:rsidR="00AF0EA7" w:rsidRDefault="00AF0EA7" w:rsidP="003C5B1C">
      <w:pPr>
        <w:rPr>
          <w:i/>
        </w:rPr>
      </w:pPr>
      <w:r>
        <w:t xml:space="preserve">Coffman, N. (2009, July).  </w:t>
      </w:r>
      <w:r w:rsidRPr="00AF0EA7">
        <w:rPr>
          <w:i/>
        </w:rPr>
        <w:t xml:space="preserve">Multisensory </w:t>
      </w:r>
      <w:r w:rsidR="003B6FBF">
        <w:rPr>
          <w:i/>
        </w:rPr>
        <w:t>teaching:  Rescuing s</w:t>
      </w:r>
      <w:r w:rsidR="00B24921">
        <w:rPr>
          <w:i/>
        </w:rPr>
        <w:t xml:space="preserve">truggling readers </w:t>
      </w:r>
      <w:r w:rsidR="003B6FBF">
        <w:rPr>
          <w:i/>
        </w:rPr>
        <w:t>a</w:t>
      </w:r>
      <w:r w:rsidR="00B24921">
        <w:rPr>
          <w:i/>
        </w:rPr>
        <w:t>t</w:t>
      </w:r>
      <w:r w:rsidR="003B6FBF">
        <w:rPr>
          <w:i/>
        </w:rPr>
        <w:t xml:space="preserve"> </w:t>
      </w:r>
      <w:r w:rsidR="00B24921">
        <w:rPr>
          <w:i/>
        </w:rPr>
        <w:t>a</w:t>
      </w:r>
      <w:r w:rsidRPr="00AF0EA7">
        <w:rPr>
          <w:i/>
        </w:rPr>
        <w:t>ll</w:t>
      </w:r>
      <w:r w:rsidR="00B24921">
        <w:rPr>
          <w:i/>
        </w:rPr>
        <w:t xml:space="preserve"> grade l</w:t>
      </w:r>
      <w:r>
        <w:rPr>
          <w:i/>
        </w:rPr>
        <w:t>evels.</w:t>
      </w:r>
    </w:p>
    <w:p w:rsidR="00AF0EA7" w:rsidRDefault="00AF0EA7" w:rsidP="003C5B1C">
      <w:r>
        <w:rPr>
          <w:i/>
        </w:rPr>
        <w:tab/>
      </w:r>
      <w:r>
        <w:t>Session presented at the 2009 Summer Conference for the Alabama Branch of the International</w:t>
      </w:r>
    </w:p>
    <w:p w:rsidR="00AF0EA7" w:rsidRDefault="00AF0EA7" w:rsidP="003C5B1C">
      <w:r>
        <w:tab/>
        <w:t>Dyslexia Association, Hoover, Alabama.</w:t>
      </w:r>
    </w:p>
    <w:p w:rsidR="00375AC2" w:rsidRDefault="00375AC2" w:rsidP="00375AC2">
      <w:pPr>
        <w:autoSpaceDE w:val="0"/>
        <w:autoSpaceDN w:val="0"/>
        <w:adjustRightInd w:val="0"/>
        <w:spacing w:after="0" w:line="240" w:lineRule="auto"/>
        <w:rPr>
          <w:rFonts w:cs="LucidaStd"/>
          <w:color w:val="231F20"/>
        </w:rPr>
      </w:pPr>
      <w:r w:rsidRPr="00375AC2">
        <w:rPr>
          <w:rFonts w:cs="LucidaStd"/>
          <w:color w:val="231F20"/>
        </w:rPr>
        <w:t>Kamil, M. L., Borman, G. D., Dole, J., Kral, C. C., Salinger, T., and Torgesen, J. (2008).</w:t>
      </w:r>
    </w:p>
    <w:p w:rsidR="00375AC2" w:rsidRPr="00375AC2" w:rsidRDefault="00375AC2" w:rsidP="00375AC2">
      <w:pPr>
        <w:autoSpaceDE w:val="0"/>
        <w:autoSpaceDN w:val="0"/>
        <w:adjustRightInd w:val="0"/>
        <w:spacing w:after="0" w:line="240" w:lineRule="auto"/>
        <w:rPr>
          <w:rFonts w:cs="LucidaStd"/>
          <w:color w:val="231F20"/>
        </w:rPr>
      </w:pPr>
    </w:p>
    <w:p w:rsid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-Italic"/>
          <w:i/>
          <w:iCs/>
          <w:color w:val="231F20"/>
        </w:rPr>
      </w:pPr>
      <w:r w:rsidRPr="00375AC2">
        <w:rPr>
          <w:rFonts w:cs="LucidaStd-Italic"/>
          <w:i/>
          <w:iCs/>
          <w:color w:val="231F20"/>
        </w:rPr>
        <w:t>Improving adolescent literacy: E!ective classroom and intervention practices: A Practice</w:t>
      </w:r>
    </w:p>
    <w:p w:rsidR="00375AC2" w:rsidRP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-Italic"/>
          <w:i/>
          <w:iCs/>
          <w:color w:val="231F20"/>
        </w:rPr>
      </w:pPr>
    </w:p>
    <w:p w:rsid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"/>
          <w:color w:val="231F20"/>
        </w:rPr>
      </w:pPr>
      <w:r w:rsidRPr="00375AC2">
        <w:rPr>
          <w:rFonts w:cs="LucidaStd-Italic"/>
          <w:i/>
          <w:iCs/>
          <w:color w:val="231F20"/>
        </w:rPr>
        <w:t xml:space="preserve">Guide </w:t>
      </w:r>
      <w:r w:rsidRPr="00375AC2">
        <w:rPr>
          <w:rFonts w:cs="LucidaStd"/>
          <w:color w:val="231F20"/>
        </w:rPr>
        <w:t>(NCEE #2008-4027). Washington, DC: National Center for Education Evaluation</w:t>
      </w:r>
    </w:p>
    <w:p w:rsidR="00375AC2" w:rsidRP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"/>
          <w:color w:val="231F20"/>
        </w:rPr>
      </w:pPr>
    </w:p>
    <w:p w:rsid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"/>
          <w:color w:val="231F20"/>
        </w:rPr>
      </w:pPr>
      <w:r w:rsidRPr="00375AC2">
        <w:rPr>
          <w:rFonts w:cs="LucidaStd"/>
          <w:color w:val="231F20"/>
        </w:rPr>
        <w:t>and Regional Assistance, Institute of Education Sciences, U.S. Department of</w:t>
      </w:r>
    </w:p>
    <w:p w:rsidR="00375AC2" w:rsidRPr="00375AC2" w:rsidRDefault="00375AC2" w:rsidP="00375AC2">
      <w:pPr>
        <w:autoSpaceDE w:val="0"/>
        <w:autoSpaceDN w:val="0"/>
        <w:adjustRightInd w:val="0"/>
        <w:spacing w:after="0" w:line="240" w:lineRule="auto"/>
        <w:ind w:firstLine="720"/>
        <w:rPr>
          <w:rFonts w:cs="LucidaStd"/>
          <w:color w:val="231F20"/>
        </w:rPr>
      </w:pPr>
    </w:p>
    <w:p w:rsidR="00375AC2" w:rsidRPr="00375AC2" w:rsidRDefault="00375AC2" w:rsidP="00375AC2">
      <w:pPr>
        <w:ind w:firstLine="720"/>
        <w:rPr>
          <w:rFonts w:cs="LucidaStd"/>
          <w:color w:val="231F20"/>
        </w:rPr>
      </w:pPr>
      <w:r w:rsidRPr="00375AC2">
        <w:rPr>
          <w:rFonts w:cs="LucidaStd"/>
          <w:color w:val="231F20"/>
        </w:rPr>
        <w:t xml:space="preserve">Education. Retrieved from </w:t>
      </w:r>
      <w:hyperlink r:id="rId13" w:history="1">
        <w:r w:rsidRPr="00375AC2">
          <w:rPr>
            <w:rStyle w:val="Hyperlink"/>
            <w:rFonts w:cs="LucidaStd"/>
          </w:rPr>
          <w:t>http://ies.ed.gov/ncee/wwc</w:t>
        </w:r>
      </w:hyperlink>
      <w:r w:rsidRPr="00375AC2">
        <w:rPr>
          <w:rFonts w:cs="LucidaStd"/>
          <w:color w:val="231F20"/>
        </w:rPr>
        <w:t>.</w:t>
      </w:r>
    </w:p>
    <w:p w:rsidR="00A04CD6" w:rsidRDefault="00A04CD6" w:rsidP="003C5B1C">
      <w:r>
        <w:t xml:space="preserve">Lyon, R. (2009, February).  </w:t>
      </w:r>
      <w:r w:rsidR="0063066B">
        <w:rPr>
          <w:i/>
        </w:rPr>
        <w:t>Reading d</w:t>
      </w:r>
      <w:r w:rsidR="00EF6331">
        <w:rPr>
          <w:i/>
        </w:rPr>
        <w:t>ifficulties:  Prevention, early intervention, and r</w:t>
      </w:r>
      <w:r>
        <w:rPr>
          <w:i/>
        </w:rPr>
        <w:t>emediation.</w:t>
      </w:r>
      <w:r>
        <w:t xml:space="preserve"> </w:t>
      </w:r>
      <w:r w:rsidR="00AF0EA7">
        <w:t xml:space="preserve"> </w:t>
      </w:r>
    </w:p>
    <w:p w:rsidR="00AF0EA7" w:rsidRDefault="00AF0EA7" w:rsidP="003C5B1C">
      <w:r>
        <w:tab/>
        <w:t>Session presented at the 2009 Spring Conference for the Dallas Branch of the International</w:t>
      </w:r>
    </w:p>
    <w:p w:rsidR="00AF0EA7" w:rsidRDefault="00AF0EA7" w:rsidP="003C5B1C">
      <w:r>
        <w:tab/>
        <w:t>Dyslexia Association, Dallas, Texas.</w:t>
      </w:r>
    </w:p>
    <w:p w:rsidR="00F873B0" w:rsidRDefault="002A4DAF" w:rsidP="00F873B0">
      <w:r>
        <w:t>Marzano, R.</w:t>
      </w:r>
      <w:r w:rsidR="00EF6331">
        <w:t>, &amp;</w:t>
      </w:r>
      <w:r>
        <w:t xml:space="preserve"> Pickering, D. (2005) </w:t>
      </w:r>
      <w:r w:rsidR="00EF6331">
        <w:rPr>
          <w:i/>
        </w:rPr>
        <w:t>Building academic vocabulary: Teacher’s m</w:t>
      </w:r>
      <w:r>
        <w:rPr>
          <w:i/>
        </w:rPr>
        <w:t xml:space="preserve">anual. </w:t>
      </w:r>
      <w:r>
        <w:t xml:space="preserve"> Alexandria,</w:t>
      </w:r>
    </w:p>
    <w:p w:rsidR="002A4DAF" w:rsidRPr="002A4DAF" w:rsidRDefault="002A4DAF" w:rsidP="00F873B0">
      <w:r>
        <w:tab/>
        <w:t xml:space="preserve">Virginia:  Association for Supervision and Curriculum Dev </w:t>
      </w:r>
      <w:r w:rsidR="00AC21D5">
        <w:t>elopm</w:t>
      </w:r>
      <w:r>
        <w:t>ent.</w:t>
      </w:r>
    </w:p>
    <w:p w:rsidR="00D85814" w:rsidRDefault="00EF6331" w:rsidP="003C5B1C">
      <w:r>
        <w:t>Wormel</w:t>
      </w:r>
      <w:r w:rsidR="00D85814">
        <w:t xml:space="preserve">i, </w:t>
      </w:r>
      <w:r w:rsidR="00B24C47">
        <w:t>R. (</w:t>
      </w:r>
      <w:r w:rsidR="002A4DAF">
        <w:t>2006</w:t>
      </w:r>
      <w:r w:rsidR="00B24C47">
        <w:t xml:space="preserve">). </w:t>
      </w:r>
      <w:r>
        <w:rPr>
          <w:i/>
        </w:rPr>
        <w:t>Fair isn’t always equal:  Assessing and grading in the differentiated c</w:t>
      </w:r>
      <w:r w:rsidR="00B24C47">
        <w:rPr>
          <w:i/>
        </w:rPr>
        <w:t>lassroom.</w:t>
      </w:r>
      <w:r w:rsidR="00B24C47">
        <w:t xml:space="preserve"> </w:t>
      </w:r>
    </w:p>
    <w:p w:rsidR="00B24C47" w:rsidRDefault="00B24C47" w:rsidP="003C5B1C">
      <w:r>
        <w:tab/>
        <w:t xml:space="preserve">Portland, Maine:  Stenhouse Publishers and Westerville, Ohio:  National Middle School </w:t>
      </w:r>
    </w:p>
    <w:p w:rsidR="00B24C47" w:rsidRPr="00B24C47" w:rsidRDefault="00B24C47" w:rsidP="003C5B1C">
      <w:r>
        <w:tab/>
        <w:t>Association.</w:t>
      </w:r>
    </w:p>
    <w:p w:rsidR="00937FD0" w:rsidRDefault="00937FD0" w:rsidP="00937FD0">
      <w:pPr>
        <w:spacing w:line="480" w:lineRule="auto"/>
      </w:pPr>
      <w:r>
        <w:t xml:space="preserve">Choiceboard Example - </w:t>
      </w:r>
      <w:hyperlink r:id="rId14" w:history="1">
        <w:r w:rsidR="00F873B0" w:rsidRPr="00E717C4">
          <w:rPr>
            <w:rStyle w:val="Hyperlink"/>
          </w:rPr>
          <w:t>http://www.russell.k12.va.us/itrt/Dan%20Mulligan/Vocabulary_Vitamins.ppt</w:t>
        </w:r>
      </w:hyperlink>
      <w:r w:rsidR="00F873B0">
        <w:t xml:space="preserve">. </w:t>
      </w:r>
    </w:p>
    <w:p w:rsidR="00B91B2E" w:rsidRDefault="00937FD0" w:rsidP="00B91B2E">
      <w:pPr>
        <w:spacing w:line="480" w:lineRule="auto"/>
      </w:pPr>
      <w:r>
        <w:tab/>
      </w:r>
      <w:r w:rsidR="00B91B2E">
        <w:t xml:space="preserve">(Retrieved from Russell </w:t>
      </w:r>
      <w:r w:rsidR="00B91B2E">
        <w:tab/>
        <w:t>County website August 31, 2009)</w:t>
      </w:r>
    </w:p>
    <w:p w:rsidR="00937FD0" w:rsidRDefault="00937FD0" w:rsidP="00937FD0">
      <w:r>
        <w:t>Frayer Model Example</w:t>
      </w:r>
      <w:r w:rsidR="00352678">
        <w:t>s</w:t>
      </w:r>
      <w:r>
        <w:t xml:space="preserve"> -</w:t>
      </w:r>
    </w:p>
    <w:p w:rsidR="00752B05" w:rsidRDefault="0058675C" w:rsidP="00937FD0">
      <w:pPr>
        <w:ind w:firstLine="720"/>
      </w:pPr>
      <w:hyperlink r:id="rId15" w:history="1">
        <w:r w:rsidR="00937FD0" w:rsidRPr="00DE2EA1">
          <w:rPr>
            <w:rStyle w:val="Hyperlink"/>
          </w:rPr>
          <w:t>http://www.doe.virginia.gov/VDOE/middle-math-strategies/WorkingWithVocabulatory.doc</w:t>
        </w:r>
      </w:hyperlink>
    </w:p>
    <w:p w:rsidR="007342A6" w:rsidRDefault="00752B05" w:rsidP="007342A6">
      <w:pPr>
        <w:spacing w:line="480" w:lineRule="auto"/>
      </w:pPr>
      <w:r>
        <w:t xml:space="preserve"> </w:t>
      </w:r>
      <w:r w:rsidR="007342A6">
        <w:tab/>
      </w:r>
      <w:r>
        <w:t xml:space="preserve"> </w:t>
      </w:r>
      <w:hyperlink r:id="rId16" w:history="1">
        <w:r w:rsidR="007342A6" w:rsidRPr="00AC4D86">
          <w:rPr>
            <w:rStyle w:val="Hyperlink"/>
          </w:rPr>
          <w:t>FoldedFrayerModelDirections_000.doc</w:t>
        </w:r>
      </w:hyperlink>
      <w:r w:rsidR="007342A6">
        <w:t xml:space="preserve"> (Retrieved on August 31, 2009 from the West Virginia </w:t>
      </w:r>
    </w:p>
    <w:p w:rsidR="007342A6" w:rsidRDefault="007342A6" w:rsidP="007342A6">
      <w:pPr>
        <w:spacing w:line="480" w:lineRule="auto"/>
      </w:pPr>
      <w:r>
        <w:tab/>
        <w:t>Department of Education website)</w:t>
      </w:r>
    </w:p>
    <w:p w:rsidR="00752B05" w:rsidRDefault="007342A6" w:rsidP="007342A6">
      <w:pPr>
        <w:spacing w:line="480" w:lineRule="auto"/>
      </w:pPr>
      <w:r>
        <w:t>RAFT Examples - http://</w:t>
      </w:r>
      <w:hyperlink r:id="rId17" w:history="1">
        <w:r w:rsidRPr="004148FA">
          <w:rPr>
            <w:rStyle w:val="Hyperlink"/>
          </w:rPr>
          <w:t>daretodifferentiate.wikispaces.com/R.A.F.T.+Assignments</w:t>
        </w:r>
      </w:hyperlink>
    </w:p>
    <w:p w:rsidR="007342A6" w:rsidRDefault="007342A6"/>
    <w:sectPr w:rsidR="007342A6" w:rsidSect="00D0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F45"/>
    <w:multiLevelType w:val="hybridMultilevel"/>
    <w:tmpl w:val="3C8E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7ADD"/>
    <w:rsid w:val="00036475"/>
    <w:rsid w:val="00047FDB"/>
    <w:rsid w:val="000504A5"/>
    <w:rsid w:val="00072A5E"/>
    <w:rsid w:val="000C0476"/>
    <w:rsid w:val="000C10F0"/>
    <w:rsid w:val="000D09D3"/>
    <w:rsid w:val="000D5CD4"/>
    <w:rsid w:val="000E35A5"/>
    <w:rsid w:val="00117F09"/>
    <w:rsid w:val="00123498"/>
    <w:rsid w:val="00127D38"/>
    <w:rsid w:val="00134FBE"/>
    <w:rsid w:val="001404F5"/>
    <w:rsid w:val="001821D5"/>
    <w:rsid w:val="001F6E0A"/>
    <w:rsid w:val="002056AF"/>
    <w:rsid w:val="00205CB3"/>
    <w:rsid w:val="00233999"/>
    <w:rsid w:val="00235C76"/>
    <w:rsid w:val="002374D3"/>
    <w:rsid w:val="00254930"/>
    <w:rsid w:val="0025559A"/>
    <w:rsid w:val="0026469B"/>
    <w:rsid w:val="002838AC"/>
    <w:rsid w:val="002958E6"/>
    <w:rsid w:val="002A4DAF"/>
    <w:rsid w:val="002B2171"/>
    <w:rsid w:val="002C3152"/>
    <w:rsid w:val="002D1CBC"/>
    <w:rsid w:val="002D3386"/>
    <w:rsid w:val="002F65D0"/>
    <w:rsid w:val="003021D4"/>
    <w:rsid w:val="00305105"/>
    <w:rsid w:val="0034219F"/>
    <w:rsid w:val="00352678"/>
    <w:rsid w:val="00354464"/>
    <w:rsid w:val="00355D47"/>
    <w:rsid w:val="00375AC2"/>
    <w:rsid w:val="003B6FBF"/>
    <w:rsid w:val="003C2567"/>
    <w:rsid w:val="003C5B1C"/>
    <w:rsid w:val="003E3406"/>
    <w:rsid w:val="003E5199"/>
    <w:rsid w:val="003F052F"/>
    <w:rsid w:val="004148FA"/>
    <w:rsid w:val="0043407F"/>
    <w:rsid w:val="004354B0"/>
    <w:rsid w:val="0045378C"/>
    <w:rsid w:val="0045405C"/>
    <w:rsid w:val="004644BB"/>
    <w:rsid w:val="004F0531"/>
    <w:rsid w:val="004F0E02"/>
    <w:rsid w:val="004F349C"/>
    <w:rsid w:val="0051248A"/>
    <w:rsid w:val="005179FF"/>
    <w:rsid w:val="00526C29"/>
    <w:rsid w:val="00536FAA"/>
    <w:rsid w:val="0054140F"/>
    <w:rsid w:val="0054410F"/>
    <w:rsid w:val="00547026"/>
    <w:rsid w:val="00547921"/>
    <w:rsid w:val="00561426"/>
    <w:rsid w:val="00565331"/>
    <w:rsid w:val="0058675C"/>
    <w:rsid w:val="005A53AE"/>
    <w:rsid w:val="005B5E96"/>
    <w:rsid w:val="005C00D7"/>
    <w:rsid w:val="005E3A08"/>
    <w:rsid w:val="005F5160"/>
    <w:rsid w:val="005F707D"/>
    <w:rsid w:val="005F72FE"/>
    <w:rsid w:val="00620A3A"/>
    <w:rsid w:val="00625225"/>
    <w:rsid w:val="0063066B"/>
    <w:rsid w:val="00634F2E"/>
    <w:rsid w:val="0063606F"/>
    <w:rsid w:val="00650476"/>
    <w:rsid w:val="006673CA"/>
    <w:rsid w:val="00683FDF"/>
    <w:rsid w:val="006E207E"/>
    <w:rsid w:val="006F58AE"/>
    <w:rsid w:val="00724396"/>
    <w:rsid w:val="007342A6"/>
    <w:rsid w:val="00742BB2"/>
    <w:rsid w:val="00752B05"/>
    <w:rsid w:val="00773C5F"/>
    <w:rsid w:val="00781245"/>
    <w:rsid w:val="007A7FC1"/>
    <w:rsid w:val="007C0758"/>
    <w:rsid w:val="007D7838"/>
    <w:rsid w:val="007E22A3"/>
    <w:rsid w:val="007F7D97"/>
    <w:rsid w:val="008020C3"/>
    <w:rsid w:val="0083606D"/>
    <w:rsid w:val="00852836"/>
    <w:rsid w:val="00863F1E"/>
    <w:rsid w:val="008664D8"/>
    <w:rsid w:val="0089632C"/>
    <w:rsid w:val="008B1F67"/>
    <w:rsid w:val="008E1953"/>
    <w:rsid w:val="008E3349"/>
    <w:rsid w:val="008E6C1D"/>
    <w:rsid w:val="00905A41"/>
    <w:rsid w:val="00905AA4"/>
    <w:rsid w:val="0092129A"/>
    <w:rsid w:val="00931A4D"/>
    <w:rsid w:val="00937FD0"/>
    <w:rsid w:val="0095108C"/>
    <w:rsid w:val="00964947"/>
    <w:rsid w:val="0097409C"/>
    <w:rsid w:val="009A60BD"/>
    <w:rsid w:val="009B2D3C"/>
    <w:rsid w:val="009C48E9"/>
    <w:rsid w:val="009E0B8B"/>
    <w:rsid w:val="009F5520"/>
    <w:rsid w:val="00A04CD6"/>
    <w:rsid w:val="00A21623"/>
    <w:rsid w:val="00A24772"/>
    <w:rsid w:val="00A57CB2"/>
    <w:rsid w:val="00A60D0D"/>
    <w:rsid w:val="00A771CB"/>
    <w:rsid w:val="00A82D9A"/>
    <w:rsid w:val="00A848C4"/>
    <w:rsid w:val="00AB46A8"/>
    <w:rsid w:val="00AC21D5"/>
    <w:rsid w:val="00AC45B5"/>
    <w:rsid w:val="00AC4D86"/>
    <w:rsid w:val="00AD078B"/>
    <w:rsid w:val="00AD4EC3"/>
    <w:rsid w:val="00AF04C9"/>
    <w:rsid w:val="00AF0EA7"/>
    <w:rsid w:val="00B136AD"/>
    <w:rsid w:val="00B155CC"/>
    <w:rsid w:val="00B20D68"/>
    <w:rsid w:val="00B244AA"/>
    <w:rsid w:val="00B24921"/>
    <w:rsid w:val="00B24C47"/>
    <w:rsid w:val="00B2777C"/>
    <w:rsid w:val="00B41E90"/>
    <w:rsid w:val="00B462FF"/>
    <w:rsid w:val="00B606C2"/>
    <w:rsid w:val="00B64F47"/>
    <w:rsid w:val="00B91B2E"/>
    <w:rsid w:val="00B92FE4"/>
    <w:rsid w:val="00B9380E"/>
    <w:rsid w:val="00B97A44"/>
    <w:rsid w:val="00BC35F9"/>
    <w:rsid w:val="00BC3F7B"/>
    <w:rsid w:val="00BC7E6C"/>
    <w:rsid w:val="00BD527B"/>
    <w:rsid w:val="00C178F6"/>
    <w:rsid w:val="00C36147"/>
    <w:rsid w:val="00C56524"/>
    <w:rsid w:val="00C6168D"/>
    <w:rsid w:val="00C65D94"/>
    <w:rsid w:val="00C7306A"/>
    <w:rsid w:val="00C7566F"/>
    <w:rsid w:val="00C75867"/>
    <w:rsid w:val="00CA186A"/>
    <w:rsid w:val="00CC194B"/>
    <w:rsid w:val="00CD0139"/>
    <w:rsid w:val="00CE4738"/>
    <w:rsid w:val="00CE7F7D"/>
    <w:rsid w:val="00D0762F"/>
    <w:rsid w:val="00D14BBB"/>
    <w:rsid w:val="00D20D37"/>
    <w:rsid w:val="00D353DA"/>
    <w:rsid w:val="00D43B7F"/>
    <w:rsid w:val="00D43FE1"/>
    <w:rsid w:val="00D72BAD"/>
    <w:rsid w:val="00D85814"/>
    <w:rsid w:val="00DC41AF"/>
    <w:rsid w:val="00DD4656"/>
    <w:rsid w:val="00DE5DE2"/>
    <w:rsid w:val="00DE7ADD"/>
    <w:rsid w:val="00DF26FD"/>
    <w:rsid w:val="00E027B7"/>
    <w:rsid w:val="00E1419D"/>
    <w:rsid w:val="00E20493"/>
    <w:rsid w:val="00E256AA"/>
    <w:rsid w:val="00E27DB1"/>
    <w:rsid w:val="00E306AD"/>
    <w:rsid w:val="00E34231"/>
    <w:rsid w:val="00E3663E"/>
    <w:rsid w:val="00E418F5"/>
    <w:rsid w:val="00E52CF2"/>
    <w:rsid w:val="00E57472"/>
    <w:rsid w:val="00E767DB"/>
    <w:rsid w:val="00E81D47"/>
    <w:rsid w:val="00EA0FAD"/>
    <w:rsid w:val="00EA1198"/>
    <w:rsid w:val="00EB15D4"/>
    <w:rsid w:val="00EB3FE8"/>
    <w:rsid w:val="00EC414D"/>
    <w:rsid w:val="00EF6331"/>
    <w:rsid w:val="00EF7BAA"/>
    <w:rsid w:val="00F072D2"/>
    <w:rsid w:val="00F111F8"/>
    <w:rsid w:val="00F36671"/>
    <w:rsid w:val="00F52C9D"/>
    <w:rsid w:val="00F6086B"/>
    <w:rsid w:val="00F7782D"/>
    <w:rsid w:val="00F80D56"/>
    <w:rsid w:val="00F873B0"/>
    <w:rsid w:val="00FB24DE"/>
    <w:rsid w:val="00FC1DAA"/>
    <w:rsid w:val="00FD2128"/>
    <w:rsid w:val="00FE4052"/>
    <w:rsid w:val="00FE559F"/>
    <w:rsid w:val="00FF5C83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2FE"/>
    <w:pPr>
      <w:ind w:left="720"/>
      <w:contextualSpacing/>
    </w:pPr>
  </w:style>
  <w:style w:type="table" w:styleId="TableGrid">
    <w:name w:val="Table Grid"/>
    <w:basedOn w:val="TableNormal"/>
    <w:uiPriority w:val="59"/>
    <w:rsid w:val="0013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5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e.com" TargetMode="External"/><Relationship Id="rId13" Type="http://schemas.openxmlformats.org/officeDocument/2006/relationships/hyperlink" Target="http://ies.ed.gov/ncee/ww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e.virginia.gov/info_centers/sol/lexile/resources/measure_relationship_to_sol/" TargetMode="External"/><Relationship Id="rId12" Type="http://schemas.openxmlformats.org/officeDocument/2006/relationships/hyperlink" Target="file:///C:\daretodifferentiate.wikispaces.com\R.A.F.T.+Assignments" TargetMode="External"/><Relationship Id="rId17" Type="http://schemas.openxmlformats.org/officeDocument/2006/relationships/hyperlink" Target="file:///C:\daretodifferentiate.wikispaces.com\R.A.F.T.+Assignm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linda\Local%20Settings\Temporary%20Internet%20Files\Content.Outlook\QEZW9DQB\FoldedFrayerModelDirections_000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exile.com/PDF/TheLexileFrameworkforReading.pdf" TargetMode="External"/><Relationship Id="rId11" Type="http://schemas.openxmlformats.org/officeDocument/2006/relationships/hyperlink" Target="http://www.russell.k12.va.us/itrt/Dan%20Mulligan/Vocabulary_Vitamins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e.virginia.gov/VDOE/middle-math-strategies/WorkingWithVocabulatory.doc" TargetMode="External"/><Relationship Id="rId10" Type="http://schemas.openxmlformats.org/officeDocument/2006/relationships/hyperlink" Target="file:///C:\Documents%20and%20Settings\linda\Local%20Settings\Temporary%20Internet%20Files\Content.Outlook\QEZW9DQB\FoldedFrayerModelDirections_000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VDOE/middle-math-strategies/WorkingWithVocabulatory.doc" TargetMode="External"/><Relationship Id="rId14" Type="http://schemas.openxmlformats.org/officeDocument/2006/relationships/hyperlink" Target="http://www.russell.k12.va.us/itrt/Dan%20Mulligan/Vocabulary_Vitamin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D318-5D60-469C-AF98-7B90D4A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mmstowe</dc:creator>
  <cp:lastModifiedBy>mmstowe</cp:lastModifiedBy>
  <cp:revision>3</cp:revision>
  <cp:lastPrinted>2009-08-24T19:19:00Z</cp:lastPrinted>
  <dcterms:created xsi:type="dcterms:W3CDTF">2010-05-21T17:05:00Z</dcterms:created>
  <dcterms:modified xsi:type="dcterms:W3CDTF">2010-05-21T17:05:00Z</dcterms:modified>
</cp:coreProperties>
</file>